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76E2" w14:textId="608E3118" w:rsidR="00151CC9" w:rsidRDefault="00151CC9" w:rsidP="00151CC9">
      <w:pPr>
        <w:tabs>
          <w:tab w:val="left" w:pos="1680"/>
        </w:tabs>
        <w:jc w:val="both"/>
        <w:rPr>
          <w:rFonts w:ascii="Verdana" w:hAnsi="Verdana"/>
          <w:b/>
        </w:rPr>
      </w:pPr>
      <w:r>
        <w:rPr>
          <w:rFonts w:ascii="Verdana" w:hAnsi="Verdana"/>
          <w:u w:val="single"/>
        </w:rPr>
        <w:t>Critère 1</w:t>
      </w:r>
      <w:r>
        <w:rPr>
          <w:rFonts w:ascii="Verdana" w:hAnsi="Verdana"/>
        </w:rPr>
        <w:t xml:space="preserve"> : </w:t>
      </w:r>
      <w:r>
        <w:rPr>
          <w:rFonts w:ascii="Verdana" w:hAnsi="Verdana"/>
          <w:b/>
        </w:rPr>
        <w:t xml:space="preserve">Tarifs de distribution :  20 points </w:t>
      </w:r>
    </w:p>
    <w:p w14:paraId="49FE6060" w14:textId="3EC429FA" w:rsidR="00151CC9" w:rsidRDefault="00151CC9" w:rsidP="00151CC9">
      <w:pPr>
        <w:tabs>
          <w:tab w:val="left" w:pos="1680"/>
        </w:tabs>
        <w:jc w:val="both"/>
        <w:rPr>
          <w:rFonts w:ascii="Verdana" w:hAnsi="Verdana"/>
          <w:b/>
        </w:rPr>
      </w:pPr>
    </w:p>
    <w:p w14:paraId="0EC5AC9D" w14:textId="77777777" w:rsidR="00151CC9" w:rsidRDefault="00151CC9" w:rsidP="00151CC9">
      <w:pPr>
        <w:tabs>
          <w:tab w:val="left" w:pos="168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En application de ce critère, les candidats gestionnaires de réseau seront comparés sur base de leurs tarifs de distribution moyens, approuvés par la </w:t>
      </w:r>
      <w:proofErr w:type="spellStart"/>
      <w:r>
        <w:rPr>
          <w:rFonts w:ascii="Verdana" w:hAnsi="Verdana"/>
        </w:rPr>
        <w:t>Cwape</w:t>
      </w:r>
      <w:proofErr w:type="spellEnd"/>
      <w:r>
        <w:rPr>
          <w:rFonts w:ascii="Verdana" w:hAnsi="Verdana"/>
        </w:rPr>
        <w:t>, au cours des exercices 2021 à 2023, selon une pondération de 3 points pour la Moyenne tension et de 17 points pour la Basse tension, sur base des profil type de consommation suivants :</w:t>
      </w:r>
    </w:p>
    <w:p w14:paraId="507BC2A6" w14:textId="77777777" w:rsidR="00151CC9" w:rsidRDefault="00151CC9" w:rsidP="00151CC9">
      <w:pPr>
        <w:tabs>
          <w:tab w:val="left" w:pos="1680"/>
        </w:tabs>
        <w:jc w:val="both"/>
        <w:rPr>
          <w:rFonts w:ascii="Verdana" w:hAnsi="Verdana"/>
        </w:rPr>
      </w:pPr>
    </w:p>
    <w:p w14:paraId="36E73C50" w14:textId="77777777" w:rsidR="00151CC9" w:rsidRDefault="00151CC9" w:rsidP="00151CC9">
      <w:pPr>
        <w:tabs>
          <w:tab w:val="left" w:pos="168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-les prix sont comparés, pour la basse tension, sur base d’un client-type de catégorie </w:t>
      </w:r>
      <w:proofErr w:type="spellStart"/>
      <w:r>
        <w:rPr>
          <w:rFonts w:ascii="Verdana" w:hAnsi="Verdana"/>
        </w:rPr>
        <w:t>Dc</w:t>
      </w:r>
      <w:proofErr w:type="spellEnd"/>
      <w:r>
        <w:rPr>
          <w:rFonts w:ascii="Verdana" w:hAnsi="Verdana"/>
        </w:rPr>
        <w:t xml:space="preserve"> consommant 3 500 kWh/an d’électricité en raccordement </w:t>
      </w:r>
      <w:proofErr w:type="spellStart"/>
      <w:r>
        <w:rPr>
          <w:rFonts w:ascii="Verdana" w:hAnsi="Verdana"/>
        </w:rPr>
        <w:t>bi-horaire</w:t>
      </w:r>
      <w:proofErr w:type="spellEnd"/>
      <w:r>
        <w:rPr>
          <w:rFonts w:ascii="Verdana" w:hAnsi="Verdana"/>
        </w:rPr>
        <w:t xml:space="preserve">, selon la ventilation suivante 1600 kWh </w:t>
      </w:r>
      <w:proofErr w:type="spellStart"/>
      <w:r>
        <w:rPr>
          <w:rFonts w:ascii="Verdana" w:hAnsi="Verdana"/>
        </w:rPr>
        <w:t>Hp</w:t>
      </w:r>
      <w:proofErr w:type="spellEnd"/>
      <w:r>
        <w:rPr>
          <w:rFonts w:ascii="Verdana" w:hAnsi="Verdana"/>
        </w:rPr>
        <w:t xml:space="preserve"> et 1900 kWh </w:t>
      </w:r>
      <w:proofErr w:type="spellStart"/>
      <w:r>
        <w:rPr>
          <w:rFonts w:ascii="Verdana" w:hAnsi="Verdana"/>
        </w:rPr>
        <w:t>Hc</w:t>
      </w:r>
      <w:proofErr w:type="spellEnd"/>
      <w:r>
        <w:rPr>
          <w:rFonts w:ascii="Verdana" w:hAnsi="Verdana"/>
        </w:rPr>
        <w:t>.</w:t>
      </w:r>
    </w:p>
    <w:p w14:paraId="60019304" w14:textId="77777777" w:rsidR="00151CC9" w:rsidRDefault="00151CC9" w:rsidP="00151CC9">
      <w:pPr>
        <w:tabs>
          <w:tab w:val="left" w:pos="1680"/>
        </w:tabs>
        <w:jc w:val="both"/>
        <w:rPr>
          <w:rFonts w:ascii="Verdana" w:hAnsi="Verdana"/>
        </w:rPr>
      </w:pPr>
    </w:p>
    <w:p w14:paraId="3771E502" w14:textId="77777777" w:rsidR="00151CC9" w:rsidRDefault="00151CC9" w:rsidP="00151CC9">
      <w:pPr>
        <w:tabs>
          <w:tab w:val="left" w:pos="1680"/>
        </w:tabs>
        <w:jc w:val="both"/>
        <w:rPr>
          <w:rFonts w:ascii="Verdana" w:hAnsi="Verdana"/>
        </w:rPr>
      </w:pPr>
      <w:r>
        <w:rPr>
          <w:rFonts w:ascii="Verdana" w:hAnsi="Verdana"/>
        </w:rPr>
        <w:t>-les prix sont comparés, pour la moyenne tension sur base d’une consommation type d’un client de classe E3 (de 100 à 700 MWH) pour une consommation annuelle de 160 MWH avec une pointe de 31,4 kWh (pointe mensuelle moyenne).</w:t>
      </w:r>
    </w:p>
    <w:p w14:paraId="276B4E6D" w14:textId="77777777" w:rsidR="00151CC9" w:rsidRDefault="00151CC9" w:rsidP="00151CC9">
      <w:pPr>
        <w:tabs>
          <w:tab w:val="left" w:pos="1680"/>
        </w:tabs>
        <w:jc w:val="both"/>
        <w:rPr>
          <w:rFonts w:ascii="Verdana" w:hAnsi="Verdana"/>
        </w:rPr>
      </w:pPr>
    </w:p>
    <w:p w14:paraId="5AAC7720" w14:textId="77777777" w:rsidR="00151CC9" w:rsidRDefault="00151CC9" w:rsidP="00151CC9">
      <w:pPr>
        <w:tabs>
          <w:tab w:val="left" w:pos="1680"/>
        </w:tabs>
        <w:jc w:val="both"/>
        <w:rPr>
          <w:rFonts w:ascii="Verdana" w:hAnsi="Verdana"/>
        </w:rPr>
      </w:pPr>
      <w:r>
        <w:rPr>
          <w:rFonts w:ascii="Verdana" w:hAnsi="Verdana"/>
        </w:rPr>
        <w:t>A l’effet de permettre d’apprécier ce critère, les candidats gestionnaires de réseau joignent à leur offre un tableau Excel reprenant les simulations ci-dessus en Moyenne et Basse tension et une copie de leurs derniers tarifs publiés et approuvés par la CWaPE (tarifs 2021 à 2023).</w:t>
      </w:r>
    </w:p>
    <w:p w14:paraId="068B3344" w14:textId="77777777" w:rsidR="00151CC9" w:rsidRDefault="00151CC9" w:rsidP="00151CC9">
      <w:pPr>
        <w:tabs>
          <w:tab w:val="left" w:pos="1680"/>
        </w:tabs>
        <w:jc w:val="both"/>
        <w:rPr>
          <w:rFonts w:ascii="Verdana" w:hAnsi="Verdana"/>
        </w:rPr>
      </w:pPr>
    </w:p>
    <w:p w14:paraId="26BAA473" w14:textId="1F0F7A5F" w:rsidR="00151CC9" w:rsidRDefault="00151CC9">
      <w:pPr>
        <w:rPr>
          <w:lang w:val="fr-FR"/>
        </w:rPr>
      </w:pPr>
    </w:p>
    <w:p w14:paraId="2FD65194" w14:textId="0BEAB50A" w:rsidR="00151CC9" w:rsidRDefault="00151CC9" w:rsidP="00151CC9">
      <w:pPr>
        <w:jc w:val="center"/>
        <w:rPr>
          <w:lang w:val="fr-FR"/>
        </w:rPr>
      </w:pPr>
      <w:r w:rsidRPr="00151CC9">
        <w:drawing>
          <wp:inline distT="0" distB="0" distL="0" distR="0" wp14:anchorId="26E85DCB" wp14:editId="3C81DF9D">
            <wp:extent cx="5104939" cy="192405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436" cy="192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00B09" w14:textId="56734C78" w:rsidR="00151CC9" w:rsidRDefault="00151CC9">
      <w:pPr>
        <w:rPr>
          <w:lang w:val="fr-FR"/>
        </w:rPr>
      </w:pPr>
    </w:p>
    <w:p w14:paraId="20497C4D" w14:textId="77777777" w:rsidR="00151CC9" w:rsidRDefault="00151CC9">
      <w:pPr>
        <w:rPr>
          <w:lang w:val="fr-FR"/>
        </w:rPr>
      </w:pPr>
    </w:p>
    <w:p w14:paraId="242EC3CE" w14:textId="2562E410" w:rsidR="00151CC9" w:rsidRDefault="00151CC9">
      <w:pPr>
        <w:rPr>
          <w:lang w:val="fr-FR"/>
        </w:rPr>
      </w:pPr>
    </w:p>
    <w:p w14:paraId="5DD400B1" w14:textId="292B8010" w:rsidR="00151CC9" w:rsidRDefault="00151CC9">
      <w:pPr>
        <w:rPr>
          <w:lang w:val="fr-FR"/>
        </w:rPr>
      </w:pPr>
    </w:p>
    <w:p w14:paraId="04DC9FA9" w14:textId="1EE5D290" w:rsidR="00151CC9" w:rsidRDefault="00151CC9">
      <w:pPr>
        <w:rPr>
          <w:lang w:val="fr-FR"/>
        </w:rPr>
      </w:pPr>
    </w:p>
    <w:p w14:paraId="71CBB2AE" w14:textId="77777777" w:rsidR="00151CC9" w:rsidRDefault="00151CC9">
      <w:pPr>
        <w:rPr>
          <w:lang w:val="fr-FR"/>
        </w:rPr>
      </w:pPr>
    </w:p>
    <w:p w14:paraId="687C8442" w14:textId="2E92AB48" w:rsidR="00151CC9" w:rsidRDefault="00151CC9" w:rsidP="00151CC9">
      <w:pPr>
        <w:tabs>
          <w:tab w:val="left" w:pos="1680"/>
        </w:tabs>
        <w:jc w:val="both"/>
        <w:rPr>
          <w:rFonts w:ascii="Verdana" w:hAnsi="Verdana"/>
          <w:b/>
        </w:rPr>
      </w:pPr>
      <w:r>
        <w:rPr>
          <w:rFonts w:ascii="Verdana" w:hAnsi="Verdana"/>
          <w:u w:val="single"/>
        </w:rPr>
        <w:t>Critère 2</w:t>
      </w:r>
      <w:r>
        <w:rPr>
          <w:rFonts w:ascii="Verdana" w:hAnsi="Verdana"/>
        </w:rPr>
        <w:t xml:space="preserve"> : </w:t>
      </w:r>
      <w:r>
        <w:rPr>
          <w:rFonts w:ascii="Verdana" w:hAnsi="Verdana"/>
          <w:b/>
        </w:rPr>
        <w:t>Investissements et dividendes : 20 points</w:t>
      </w:r>
    </w:p>
    <w:p w14:paraId="2C6DFB85" w14:textId="77777777" w:rsidR="00151CC9" w:rsidRDefault="00151CC9" w:rsidP="00151CC9">
      <w:pPr>
        <w:tabs>
          <w:tab w:val="left" w:pos="1680"/>
        </w:tabs>
        <w:jc w:val="both"/>
        <w:rPr>
          <w:rFonts w:ascii="Verdana" w:hAnsi="Verdana"/>
        </w:rPr>
      </w:pPr>
      <w:r>
        <w:rPr>
          <w:rFonts w:ascii="Verdana" w:hAnsi="Verdana"/>
        </w:rPr>
        <w:t>En application de ce critère, les candidats gestionnaires de réseau seront comparés :</w:t>
      </w:r>
    </w:p>
    <w:p w14:paraId="2CADDE35" w14:textId="77777777" w:rsidR="00151CC9" w:rsidRDefault="00151CC9" w:rsidP="00151CC9">
      <w:pPr>
        <w:tabs>
          <w:tab w:val="left" w:pos="1680"/>
        </w:tabs>
        <w:jc w:val="both"/>
        <w:rPr>
          <w:rFonts w:ascii="Verdana" w:hAnsi="Verdana"/>
        </w:rPr>
      </w:pPr>
      <w:r>
        <w:rPr>
          <w:rFonts w:ascii="Verdana" w:hAnsi="Verdana"/>
        </w:rPr>
        <w:t>- sur base du pourcentage d’investissements nets clôturés annuellement (montant des investissements réalisés au regard de la valeur résiduelle totale des réseaux gérés réalisés au cours des trois</w:t>
      </w:r>
      <w:r>
        <w:t xml:space="preserve"> </w:t>
      </w:r>
      <w:r>
        <w:rPr>
          <w:rFonts w:ascii="Verdana" w:hAnsi="Verdana"/>
        </w:rPr>
        <w:t>années précédentes et du pourcentage d’investissements nets annuel prévus dans les plans d’adaptation pour les trois années à venir, sur base de la valeur résiduelle des réseaux (moitié des points de ce critère, 7,5 points pour les investissements déjà réalisés et 2,5 points pour les investissement à réaliser).</w:t>
      </w:r>
    </w:p>
    <w:p w14:paraId="18DDA1D7" w14:textId="77777777" w:rsidR="00151CC9" w:rsidRDefault="00151CC9" w:rsidP="00151CC9">
      <w:pPr>
        <w:tabs>
          <w:tab w:val="left" w:pos="1680"/>
        </w:tabs>
        <w:jc w:val="both"/>
        <w:rPr>
          <w:rFonts w:ascii="Verdana" w:hAnsi="Verdana"/>
        </w:rPr>
      </w:pPr>
      <w:r>
        <w:rPr>
          <w:rFonts w:ascii="Verdana" w:hAnsi="Verdana"/>
        </w:rPr>
        <w:t>Par investissements nets, il faut entendre les investissements bruts desquels ont été retirés les interventions de la clientèle.</w:t>
      </w:r>
    </w:p>
    <w:p w14:paraId="6CD61F9A" w14:textId="77777777" w:rsidR="00151CC9" w:rsidRDefault="00151CC9" w:rsidP="00151CC9">
      <w:pPr>
        <w:tabs>
          <w:tab w:val="left" w:pos="1680"/>
        </w:tabs>
        <w:jc w:val="both"/>
        <w:rPr>
          <w:rFonts w:ascii="Verdana" w:hAnsi="Verdana"/>
        </w:rPr>
      </w:pPr>
      <w:r>
        <w:rPr>
          <w:rFonts w:ascii="Verdana" w:hAnsi="Verdana"/>
        </w:rPr>
        <w:t>- sur base des dividendes moyens versés, par le GRD et par URD,</w:t>
      </w:r>
      <w:r>
        <w:t xml:space="preserve"> </w:t>
      </w:r>
      <w:r>
        <w:rPr>
          <w:rFonts w:ascii="Verdana" w:hAnsi="Verdana"/>
        </w:rPr>
        <w:t>au cours des trois années précédentes (moitié des points de ce critère).</w:t>
      </w:r>
    </w:p>
    <w:p w14:paraId="4986577E" w14:textId="69AED8DE" w:rsidR="00151CC9" w:rsidRDefault="00151CC9" w:rsidP="00151CC9">
      <w:pPr>
        <w:tabs>
          <w:tab w:val="left" w:pos="1680"/>
        </w:tabs>
        <w:jc w:val="both"/>
        <w:rPr>
          <w:rFonts w:ascii="Verdana" w:hAnsi="Verdana"/>
        </w:rPr>
      </w:pPr>
      <w:r>
        <w:rPr>
          <w:rFonts w:ascii="Verdana" w:hAnsi="Verdana"/>
        </w:rPr>
        <w:t>A l’effet de permettre d’apprécier ce critère, les candidats gestionnaires de réseau joignent à leur offre les trois derniers bilans déposés à la BNB (exercices 2018, 2019 et 2020), comprenant le compte 23 et leur dernier plan d’adaptation approuvé par la CWaPE. Ils justifient de leur nombre d’</w:t>
      </w:r>
      <w:proofErr w:type="spellStart"/>
      <w:r>
        <w:rPr>
          <w:rFonts w:ascii="Verdana" w:hAnsi="Verdana"/>
        </w:rPr>
        <w:t>URD’s</w:t>
      </w:r>
      <w:proofErr w:type="spellEnd"/>
      <w:r>
        <w:rPr>
          <w:rFonts w:ascii="Verdana" w:hAnsi="Verdana"/>
        </w:rPr>
        <w:t xml:space="preserve"> par la production de tout document probant émis ou approuvé par la CWaPE.</w:t>
      </w:r>
    </w:p>
    <w:p w14:paraId="71DFE3AF" w14:textId="3E324E3F" w:rsidR="00151CC9" w:rsidRDefault="00151CC9">
      <w:pPr>
        <w:rPr>
          <w:lang w:val="fr-FR"/>
        </w:rPr>
      </w:pPr>
    </w:p>
    <w:p w14:paraId="2AF08A2D" w14:textId="0453D513" w:rsidR="00151CC9" w:rsidRDefault="00151CC9">
      <w:pPr>
        <w:rPr>
          <w:lang w:val="fr-FR"/>
        </w:rPr>
      </w:pPr>
      <w:r w:rsidRPr="00151CC9">
        <w:drawing>
          <wp:inline distT="0" distB="0" distL="0" distR="0" wp14:anchorId="465B8323" wp14:editId="0B3775CC">
            <wp:extent cx="5368649" cy="439102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552" cy="439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A9A1" w14:textId="77777777" w:rsidR="00151CC9" w:rsidRDefault="00151CC9" w:rsidP="00151CC9">
      <w:pPr>
        <w:tabs>
          <w:tab w:val="left" w:pos="1680"/>
        </w:tabs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Critère 3</w:t>
      </w:r>
      <w:r>
        <w:rPr>
          <w:rFonts w:ascii="Verdana" w:hAnsi="Verdana"/>
        </w:rPr>
        <w:t xml:space="preserve"> : </w:t>
      </w:r>
      <w:r>
        <w:rPr>
          <w:rFonts w:ascii="Verdana" w:hAnsi="Verdana"/>
          <w:b/>
        </w:rPr>
        <w:t>Structure financière : 20 points</w:t>
      </w:r>
    </w:p>
    <w:p w14:paraId="07C8E676" w14:textId="77777777" w:rsidR="001F119B" w:rsidRDefault="001F119B" w:rsidP="001F119B">
      <w:pPr>
        <w:tabs>
          <w:tab w:val="left" w:pos="1680"/>
        </w:tabs>
        <w:jc w:val="both"/>
        <w:rPr>
          <w:rFonts w:ascii="Verdana" w:hAnsi="Verdana"/>
        </w:rPr>
      </w:pPr>
      <w:r>
        <w:rPr>
          <w:rFonts w:ascii="Verdana" w:hAnsi="Verdana"/>
        </w:rPr>
        <w:t>En application de ce critère, les candidats gestionnaires de réseau seront comparés :</w:t>
      </w:r>
    </w:p>
    <w:p w14:paraId="01B5A093" w14:textId="77777777" w:rsidR="001F119B" w:rsidRDefault="001F119B" w:rsidP="001F119B">
      <w:pPr>
        <w:tabs>
          <w:tab w:val="left" w:pos="1680"/>
        </w:tabs>
        <w:jc w:val="both"/>
        <w:rPr>
          <w:rFonts w:ascii="Verdana" w:hAnsi="Verdana"/>
        </w:rPr>
      </w:pPr>
      <w:r>
        <w:rPr>
          <w:rFonts w:ascii="Verdana" w:hAnsi="Verdana"/>
        </w:rPr>
        <w:t>- sur base du pourcentage d’endettement à plus d’un an (compte n°17) du dernier total bilantaire tel que publié (moitié des points de ce critère) ;</w:t>
      </w:r>
    </w:p>
    <w:p w14:paraId="6C090816" w14:textId="77777777" w:rsidR="001F119B" w:rsidRDefault="001F119B" w:rsidP="001F119B">
      <w:pPr>
        <w:tabs>
          <w:tab w:val="left" w:pos="1680"/>
        </w:tabs>
        <w:jc w:val="both"/>
        <w:rPr>
          <w:rFonts w:ascii="Verdana" w:hAnsi="Verdana"/>
        </w:rPr>
      </w:pPr>
      <w:r>
        <w:rPr>
          <w:rFonts w:ascii="Verdana" w:hAnsi="Verdana"/>
        </w:rPr>
        <w:t>- sur base de la moyenne du revenu autorisé tel que publié par le régulateur et par EAN (moitié des points de ce critère).</w:t>
      </w:r>
    </w:p>
    <w:p w14:paraId="1F21F493" w14:textId="4C310E92" w:rsidR="00151CC9" w:rsidRDefault="001F119B" w:rsidP="001F119B">
      <w:pPr>
        <w:rPr>
          <w:lang w:val="fr-FR"/>
        </w:rPr>
      </w:pPr>
      <w:r>
        <w:rPr>
          <w:rFonts w:ascii="Verdana" w:hAnsi="Verdana"/>
        </w:rPr>
        <w:t>A l’effet de permettre d’apprécier ce critère, les candidats gestionnaires de réseau joignent à leur offre la preuve de leur revenu autorisé publié par la CWaPE.</w:t>
      </w:r>
    </w:p>
    <w:p w14:paraId="0BB223F9" w14:textId="4C1ABE14" w:rsidR="00151CC9" w:rsidRDefault="00151CC9">
      <w:pPr>
        <w:rPr>
          <w:lang w:val="fr-FR"/>
        </w:rPr>
      </w:pPr>
    </w:p>
    <w:p w14:paraId="38FAEF11" w14:textId="77777777" w:rsidR="00151CC9" w:rsidRDefault="00151CC9">
      <w:pPr>
        <w:rPr>
          <w:lang w:val="fr-FR"/>
        </w:rPr>
      </w:pPr>
    </w:p>
    <w:p w14:paraId="4722FFD3" w14:textId="0329473A" w:rsidR="00151CC9" w:rsidRDefault="001F119B">
      <w:pPr>
        <w:rPr>
          <w:lang w:val="fr-FR"/>
        </w:rPr>
      </w:pPr>
      <w:r w:rsidRPr="001F119B">
        <w:drawing>
          <wp:inline distT="0" distB="0" distL="0" distR="0" wp14:anchorId="233819E2" wp14:editId="196E117C">
            <wp:extent cx="5429250" cy="15716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574B7" w14:textId="77777777" w:rsidR="00151CC9" w:rsidRPr="00151CC9" w:rsidRDefault="00151CC9">
      <w:pPr>
        <w:rPr>
          <w:lang w:val="fr-FR"/>
        </w:rPr>
      </w:pPr>
    </w:p>
    <w:sectPr w:rsidR="00151CC9" w:rsidRPr="0015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C9"/>
    <w:rsid w:val="00151CC9"/>
    <w:rsid w:val="001F119B"/>
    <w:rsid w:val="00C3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0EB5"/>
  <w15:chartTrackingRefBased/>
  <w15:docId w15:val="{61D300E3-AEFC-437E-95C4-1C5EE705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Carignano</dc:creator>
  <cp:keywords/>
  <dc:description/>
  <cp:lastModifiedBy>Cedric Carignano</cp:lastModifiedBy>
  <cp:revision>1</cp:revision>
  <dcterms:created xsi:type="dcterms:W3CDTF">2021-06-25T08:20:00Z</dcterms:created>
  <dcterms:modified xsi:type="dcterms:W3CDTF">2021-06-25T08:32:00Z</dcterms:modified>
</cp:coreProperties>
</file>