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553C" w14:textId="520DC058" w:rsidR="00C61F3D" w:rsidRDefault="00C61F3D" w:rsidP="00C61F3D">
      <w:pPr>
        <w:pBdr>
          <w:bottom w:val="single" w:sz="4" w:space="1" w:color="auto"/>
        </w:pBdr>
        <w:autoSpaceDE w:val="0"/>
        <w:autoSpaceDN w:val="0"/>
        <w:adjustRightInd w:val="0"/>
        <w:spacing w:after="0" w:line="240" w:lineRule="auto"/>
        <w:jc w:val="center"/>
        <w:rPr>
          <w:rFonts w:ascii="Arial" w:eastAsia="Times New Roman" w:hAnsi="Arial" w:cs="Arial"/>
          <w:b/>
          <w:bCs/>
          <w:sz w:val="18"/>
          <w:szCs w:val="18"/>
          <w:lang w:val="fr-FR" w:eastAsia="fr-FR"/>
        </w:rPr>
      </w:pPr>
      <w:r w:rsidRPr="00C61F3D">
        <w:rPr>
          <w:rFonts w:ascii="Arial" w:eastAsia="Times New Roman" w:hAnsi="Arial" w:cs="Arial"/>
          <w:b/>
          <w:bCs/>
          <w:noProof/>
          <w:sz w:val="18"/>
          <w:szCs w:val="18"/>
          <w:lang w:val="fr-FR" w:eastAsia="fr-FR"/>
        </w:rPr>
        <w:drawing>
          <wp:anchor distT="0" distB="0" distL="114300" distR="114300" simplePos="0" relativeHeight="251659264" behindDoc="0" locked="0" layoutInCell="1" allowOverlap="1" wp14:anchorId="727A9592" wp14:editId="124EE5C7">
            <wp:simplePos x="0" y="0"/>
            <wp:positionH relativeFrom="column">
              <wp:posOffset>-680720</wp:posOffset>
            </wp:positionH>
            <wp:positionV relativeFrom="paragraph">
              <wp:posOffset>0</wp:posOffset>
            </wp:positionV>
            <wp:extent cx="1724025" cy="600075"/>
            <wp:effectExtent l="0" t="0" r="9525" b="9525"/>
            <wp:wrapThrough wrapText="bothSides">
              <wp:wrapPolygon edited="0">
                <wp:start x="0" y="0"/>
                <wp:lineTo x="0" y="21257"/>
                <wp:lineTo x="21481" y="21257"/>
                <wp:lineTo x="2148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pic:spPr>
                </pic:pic>
              </a:graphicData>
            </a:graphic>
            <wp14:sizeRelH relativeFrom="page">
              <wp14:pctWidth>0</wp14:pctWidth>
            </wp14:sizeRelH>
            <wp14:sizeRelV relativeFrom="page">
              <wp14:pctHeight>0</wp14:pctHeight>
            </wp14:sizeRelV>
          </wp:anchor>
        </w:drawing>
      </w:r>
    </w:p>
    <w:p w14:paraId="72320443" w14:textId="237A4A75" w:rsidR="00C61F3D" w:rsidRDefault="00C61F3D" w:rsidP="00C61F3D">
      <w:pPr>
        <w:pBdr>
          <w:bottom w:val="single" w:sz="4" w:space="1" w:color="auto"/>
        </w:pBdr>
        <w:autoSpaceDE w:val="0"/>
        <w:autoSpaceDN w:val="0"/>
        <w:adjustRightInd w:val="0"/>
        <w:spacing w:after="0" w:line="240" w:lineRule="auto"/>
        <w:jc w:val="center"/>
        <w:rPr>
          <w:rFonts w:ascii="Arial" w:eastAsia="Times New Roman" w:hAnsi="Arial" w:cs="Arial"/>
          <w:b/>
          <w:bCs/>
          <w:sz w:val="18"/>
          <w:szCs w:val="18"/>
          <w:lang w:val="fr-FR" w:eastAsia="fr-FR"/>
        </w:rPr>
      </w:pPr>
    </w:p>
    <w:p w14:paraId="6D724C0E" w14:textId="1D7CE8AA" w:rsidR="00C61F3D" w:rsidRDefault="00C61F3D" w:rsidP="00C61F3D">
      <w:pPr>
        <w:pBdr>
          <w:bottom w:val="single" w:sz="4" w:space="1" w:color="auto"/>
        </w:pBdr>
        <w:autoSpaceDE w:val="0"/>
        <w:autoSpaceDN w:val="0"/>
        <w:adjustRightInd w:val="0"/>
        <w:spacing w:after="0" w:line="240" w:lineRule="auto"/>
        <w:jc w:val="center"/>
        <w:rPr>
          <w:rFonts w:ascii="Arial" w:eastAsia="Times New Roman" w:hAnsi="Arial" w:cs="Arial"/>
          <w:b/>
          <w:bCs/>
          <w:sz w:val="18"/>
          <w:szCs w:val="18"/>
          <w:lang w:val="fr-FR" w:eastAsia="fr-FR"/>
        </w:rPr>
      </w:pPr>
    </w:p>
    <w:p w14:paraId="2FF0B2EC" w14:textId="799130E5" w:rsidR="00C61F3D" w:rsidRPr="00C61F3D" w:rsidRDefault="00C61F3D" w:rsidP="00C61F3D">
      <w:pPr>
        <w:pBdr>
          <w:bottom w:val="single" w:sz="4" w:space="1" w:color="auto"/>
        </w:pBdr>
        <w:autoSpaceDE w:val="0"/>
        <w:autoSpaceDN w:val="0"/>
        <w:adjustRightInd w:val="0"/>
        <w:spacing w:after="0" w:line="240" w:lineRule="auto"/>
        <w:jc w:val="center"/>
        <w:rPr>
          <w:rFonts w:ascii="Arial" w:eastAsia="Times New Roman" w:hAnsi="Arial" w:cs="Arial"/>
          <w:b/>
          <w:bCs/>
          <w:sz w:val="18"/>
          <w:szCs w:val="18"/>
          <w:lang w:val="fr-FR" w:eastAsia="fr-FR"/>
        </w:rPr>
      </w:pPr>
      <w:r w:rsidRPr="00C61F3D">
        <w:rPr>
          <w:rFonts w:ascii="Arial" w:eastAsia="Times New Roman" w:hAnsi="Arial" w:cs="Arial"/>
          <w:b/>
          <w:bCs/>
          <w:sz w:val="18"/>
          <w:szCs w:val="18"/>
          <w:lang w:val="fr-FR" w:eastAsia="fr-FR"/>
        </w:rPr>
        <w:t>Province de Namur – Arrondissement de Philippeville</w:t>
      </w:r>
    </w:p>
    <w:p w14:paraId="400CCFD1" w14:textId="69302977" w:rsidR="00C61F3D" w:rsidRPr="00C61F3D" w:rsidRDefault="00C61F3D" w:rsidP="00C61F3D">
      <w:pPr>
        <w:pBdr>
          <w:bottom w:val="single" w:sz="4" w:space="1" w:color="auto"/>
        </w:pBdr>
        <w:autoSpaceDE w:val="0"/>
        <w:autoSpaceDN w:val="0"/>
        <w:adjustRightInd w:val="0"/>
        <w:spacing w:after="0" w:line="240" w:lineRule="auto"/>
        <w:jc w:val="center"/>
        <w:rPr>
          <w:rFonts w:ascii="Arial" w:eastAsia="Times New Roman" w:hAnsi="Arial" w:cs="Arial"/>
          <w:b/>
          <w:bCs/>
          <w:sz w:val="26"/>
          <w:szCs w:val="26"/>
          <w:lang w:val="fr-FR" w:eastAsia="fr-FR"/>
        </w:rPr>
      </w:pPr>
      <w:r w:rsidRPr="00C61F3D">
        <w:rPr>
          <w:rFonts w:ascii="Arial" w:eastAsia="Times New Roman" w:hAnsi="Arial" w:cs="Arial"/>
          <w:b/>
          <w:bCs/>
          <w:sz w:val="26"/>
          <w:szCs w:val="26"/>
          <w:lang w:val="fr-FR" w:eastAsia="fr-FR"/>
        </w:rPr>
        <w:t>COMMUNE    DE    VIROINVAL</w:t>
      </w:r>
    </w:p>
    <w:p w14:paraId="468D54B9" w14:textId="177CAA0C" w:rsidR="00C61F3D" w:rsidRPr="00C61F3D" w:rsidRDefault="00C61F3D" w:rsidP="00C61F3D">
      <w:pPr>
        <w:tabs>
          <w:tab w:val="center" w:pos="4536"/>
          <w:tab w:val="right" w:pos="9072"/>
        </w:tabs>
        <w:spacing w:after="0" w:line="240" w:lineRule="auto"/>
        <w:rPr>
          <w:rFonts w:ascii="Times New Roman" w:eastAsia="Times New Roman" w:hAnsi="Times New Roman" w:cs="Times New Roman"/>
          <w:sz w:val="24"/>
          <w:szCs w:val="24"/>
          <w:lang w:eastAsia="fr-FR"/>
        </w:rPr>
      </w:pPr>
    </w:p>
    <w:p w14:paraId="36F82835" w14:textId="32C60B40" w:rsidR="00C61F3D" w:rsidRPr="00C61F3D" w:rsidRDefault="00C61F3D" w:rsidP="00C61F3D">
      <w:pPr>
        <w:spacing w:after="0" w:line="240" w:lineRule="auto"/>
        <w:rPr>
          <w:rFonts w:ascii="Times New Roman" w:eastAsia="Times New Roman" w:hAnsi="Times New Roman" w:cs="Times New Roman"/>
          <w:sz w:val="24"/>
          <w:szCs w:val="24"/>
          <w:lang w:eastAsia="fr-FR"/>
        </w:rPr>
      </w:pPr>
    </w:p>
    <w:p w14:paraId="64187222"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32"/>
          <w:szCs w:val="32"/>
          <w:lang w:val="fr-FR" w:eastAsia="fr-FR"/>
        </w:rPr>
      </w:pPr>
      <w:r w:rsidRPr="00C61F3D">
        <w:rPr>
          <w:rFonts w:ascii="Arial" w:eastAsia="Times New Roman" w:hAnsi="Arial" w:cs="Arial"/>
          <w:b/>
          <w:bCs/>
          <w:sz w:val="32"/>
          <w:szCs w:val="32"/>
          <w:lang w:val="fr-FR" w:eastAsia="fr-FR"/>
        </w:rPr>
        <w:t>DECLARATION   TAXE   DE   SEJOUR</w:t>
      </w:r>
    </w:p>
    <w:p w14:paraId="18DF6AA8" w14:textId="77777777" w:rsidR="00C61F3D" w:rsidRPr="00C61F3D" w:rsidRDefault="00C61F3D" w:rsidP="00C61F3D">
      <w:pPr>
        <w:autoSpaceDE w:val="0"/>
        <w:autoSpaceDN w:val="0"/>
        <w:adjustRightInd w:val="0"/>
        <w:spacing w:after="0" w:line="240" w:lineRule="auto"/>
        <w:rPr>
          <w:rFonts w:ascii="Arial" w:eastAsia="Times New Roman" w:hAnsi="Arial" w:cs="Arial"/>
          <w:sz w:val="32"/>
          <w:szCs w:val="32"/>
          <w:lang w:val="fr-FR" w:eastAsia="fr-FR"/>
        </w:rPr>
      </w:pPr>
    </w:p>
    <w:p w14:paraId="4E0B5C83" w14:textId="77777777" w:rsidR="00C61F3D" w:rsidRPr="00C61F3D" w:rsidRDefault="00C61F3D" w:rsidP="00C61F3D">
      <w:pPr>
        <w:autoSpaceDE w:val="0"/>
        <w:autoSpaceDN w:val="0"/>
        <w:adjustRightInd w:val="0"/>
        <w:spacing w:after="0" w:line="240" w:lineRule="auto"/>
        <w:rPr>
          <w:rFonts w:ascii="Arial" w:eastAsia="Times New Roman" w:hAnsi="Arial" w:cs="Arial"/>
          <w:b/>
          <w:bCs/>
          <w:u w:val="single"/>
          <w:lang w:val="fr-FR" w:eastAsia="fr-FR"/>
        </w:rPr>
      </w:pPr>
    </w:p>
    <w:p w14:paraId="24E8F13F"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18"/>
          <w:szCs w:val="18"/>
          <w:lang w:val="fr-FR" w:eastAsia="fr-FR"/>
        </w:rPr>
      </w:pPr>
      <w:r w:rsidRPr="00C61F3D">
        <w:rPr>
          <w:rFonts w:ascii="Arial" w:eastAsia="Times New Roman" w:hAnsi="Arial" w:cs="Arial"/>
          <w:b/>
          <w:bCs/>
          <w:sz w:val="18"/>
          <w:szCs w:val="18"/>
          <w:lang w:val="fr-FR" w:eastAsia="fr-FR"/>
        </w:rPr>
        <w:t>CETTE DECLARATION EST VALIDE JUSQU'A</w:t>
      </w:r>
    </w:p>
    <w:p w14:paraId="177BC7B2"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18"/>
          <w:szCs w:val="18"/>
          <w:lang w:val="fr-FR" w:eastAsia="fr-FR"/>
        </w:rPr>
      </w:pPr>
      <w:r w:rsidRPr="00C61F3D">
        <w:rPr>
          <w:rFonts w:ascii="Arial" w:eastAsia="Times New Roman" w:hAnsi="Arial" w:cs="Arial"/>
          <w:b/>
          <w:bCs/>
          <w:sz w:val="18"/>
          <w:szCs w:val="18"/>
          <w:lang w:val="fr-FR" w:eastAsia="fr-FR"/>
        </w:rPr>
        <w:t xml:space="preserve">MODIFICATION OU REVOCATION </w:t>
      </w:r>
      <w:r w:rsidRPr="00C61F3D">
        <w:rPr>
          <w:rFonts w:ascii="Arial" w:eastAsia="Times New Roman" w:hAnsi="Arial" w:cs="Arial"/>
          <w:b/>
          <w:bCs/>
          <w:sz w:val="18"/>
          <w:szCs w:val="18"/>
          <w:u w:val="single"/>
          <w:lang w:val="fr-FR" w:eastAsia="fr-FR"/>
        </w:rPr>
        <w:t>ECRITE</w:t>
      </w:r>
      <w:r w:rsidRPr="00C61F3D">
        <w:rPr>
          <w:rFonts w:ascii="Arial" w:eastAsia="Times New Roman" w:hAnsi="Arial" w:cs="Arial"/>
          <w:b/>
          <w:bCs/>
          <w:sz w:val="18"/>
          <w:szCs w:val="18"/>
          <w:lang w:val="fr-FR" w:eastAsia="fr-FR"/>
        </w:rPr>
        <w:t xml:space="preserve"> DE VOTRE PART RECOMMANDE</w:t>
      </w:r>
    </w:p>
    <w:p w14:paraId="02A8A7EC"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18"/>
          <w:szCs w:val="18"/>
          <w:lang w:val="fr-FR" w:eastAsia="fr-FR"/>
        </w:rPr>
      </w:pPr>
    </w:p>
    <w:p w14:paraId="1B3EBB50"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18"/>
          <w:szCs w:val="18"/>
          <w:lang w:val="fr-FR" w:eastAsia="fr-FR"/>
        </w:rPr>
      </w:pPr>
    </w:p>
    <w:p w14:paraId="50A4B6D8" w14:textId="77777777" w:rsidR="00C61F3D" w:rsidRPr="00C61F3D" w:rsidRDefault="00C61F3D" w:rsidP="00C61F3D">
      <w:pPr>
        <w:autoSpaceDE w:val="0"/>
        <w:autoSpaceDN w:val="0"/>
        <w:adjustRightInd w:val="0"/>
        <w:spacing w:after="0" w:line="240" w:lineRule="auto"/>
        <w:jc w:val="center"/>
        <w:rPr>
          <w:rFonts w:ascii="Arial" w:eastAsia="Times New Roman" w:hAnsi="Arial" w:cs="Arial"/>
          <w:b/>
          <w:bCs/>
          <w:sz w:val="18"/>
          <w:szCs w:val="18"/>
          <w:u w:val="single"/>
          <w:lang w:val="fr-FR" w:eastAsia="fr-FR"/>
        </w:rPr>
      </w:pPr>
      <w:r w:rsidRPr="00C61F3D">
        <w:rPr>
          <w:rFonts w:ascii="Arial" w:eastAsia="Times New Roman" w:hAnsi="Arial" w:cs="Arial"/>
          <w:sz w:val="18"/>
          <w:szCs w:val="18"/>
          <w:lang w:val="fr-FR" w:eastAsia="fr-FR"/>
        </w:rPr>
        <w:t xml:space="preserve">Le présent document est à faire parvenir à l'Administration Communale Viroinval - Service des Finances – Parc Communal 1 à 5670 VIROINVAL </w:t>
      </w:r>
      <w:r w:rsidRPr="00C61F3D">
        <w:rPr>
          <w:rFonts w:ascii="Times New Roman" w:eastAsia="Times New Roman" w:hAnsi="Times New Roman" w:cs="Times New Roman"/>
          <w:b/>
          <w:bCs/>
          <w:sz w:val="24"/>
          <w:szCs w:val="24"/>
          <w:lang w:eastAsia="fr-BE"/>
        </w:rPr>
        <w:t>au plus tard le 1</w:t>
      </w:r>
      <w:r w:rsidRPr="00C61F3D">
        <w:rPr>
          <w:rFonts w:ascii="Times New Roman" w:eastAsia="Times New Roman" w:hAnsi="Times New Roman" w:cs="Times New Roman"/>
          <w:b/>
          <w:bCs/>
          <w:sz w:val="24"/>
          <w:szCs w:val="24"/>
          <w:vertAlign w:val="superscript"/>
          <w:lang w:eastAsia="fr-BE"/>
        </w:rPr>
        <w:t>er</w:t>
      </w:r>
      <w:r w:rsidRPr="00C61F3D">
        <w:rPr>
          <w:rFonts w:ascii="Times New Roman" w:eastAsia="Times New Roman" w:hAnsi="Times New Roman" w:cs="Times New Roman"/>
          <w:b/>
          <w:bCs/>
          <w:sz w:val="24"/>
          <w:szCs w:val="24"/>
          <w:lang w:eastAsia="fr-BE"/>
        </w:rPr>
        <w:t xml:space="preserve"> jour de la mise à disposition de son hébergement</w:t>
      </w:r>
    </w:p>
    <w:p w14:paraId="3A933A42" w14:textId="18B7821E" w:rsidR="00C61F3D" w:rsidRPr="00C61F3D" w:rsidRDefault="00C61F3D" w:rsidP="00C61F3D">
      <w:pPr>
        <w:spacing w:after="0" w:line="240" w:lineRule="auto"/>
        <w:rPr>
          <w:rFonts w:ascii="Times New Roman" w:eastAsia="Times New Roman" w:hAnsi="Times New Roman" w:cs="Times New Roman"/>
          <w:sz w:val="24"/>
          <w:szCs w:val="24"/>
          <w:lang w:eastAsia="fr-FR"/>
        </w:rPr>
      </w:pPr>
    </w:p>
    <w:p w14:paraId="3D2ECD45" w14:textId="387D4A6D" w:rsidR="00C61F3D" w:rsidRPr="00C61F3D" w:rsidRDefault="00C61F3D" w:rsidP="00C61F3D">
      <w:pPr>
        <w:spacing w:after="0" w:line="240" w:lineRule="auto"/>
        <w:rPr>
          <w:rFonts w:ascii="Times New Roman" w:eastAsia="Times New Roman" w:hAnsi="Times New Roman" w:cs="Times New Roman"/>
          <w:sz w:val="24"/>
          <w:szCs w:val="24"/>
          <w:lang w:eastAsia="fr-FR"/>
        </w:rPr>
      </w:pPr>
    </w:p>
    <w:p w14:paraId="318E3807" w14:textId="77777777" w:rsidR="00C61F3D" w:rsidRPr="00C61F3D" w:rsidRDefault="00C61F3D" w:rsidP="00C61F3D">
      <w:pPr>
        <w:autoSpaceDE w:val="0"/>
        <w:autoSpaceDN w:val="0"/>
        <w:adjustRightInd w:val="0"/>
        <w:spacing w:after="0" w:line="240" w:lineRule="auto"/>
        <w:rPr>
          <w:rFonts w:ascii="Arial" w:eastAsia="Times New Roman" w:hAnsi="Arial" w:cs="Arial"/>
          <w:b/>
          <w:bCs/>
          <w:sz w:val="20"/>
          <w:szCs w:val="20"/>
          <w:u w:val="single"/>
          <w:lang w:val="fr-FR" w:eastAsia="fr-FR"/>
        </w:rPr>
      </w:pPr>
      <w:r w:rsidRPr="00C61F3D">
        <w:rPr>
          <w:rFonts w:ascii="Arial" w:eastAsia="Times New Roman" w:hAnsi="Arial" w:cs="Arial"/>
          <w:b/>
          <w:bCs/>
          <w:u w:val="single"/>
          <w:lang w:val="fr-FR" w:eastAsia="fr-FR"/>
        </w:rPr>
        <w:t>TYPE LOGEMENT </w:t>
      </w:r>
      <w:r w:rsidRPr="00C61F3D">
        <w:rPr>
          <w:rFonts w:ascii="Arial" w:eastAsia="Times New Roman" w:hAnsi="Arial" w:cs="Arial"/>
          <w:b/>
          <w:bCs/>
          <w:u w:val="single"/>
          <w:vertAlign w:val="superscript"/>
          <w:lang w:val="fr-FR" w:eastAsia="fr-FR"/>
        </w:rPr>
        <w:footnoteReference w:id="1"/>
      </w:r>
      <w:r w:rsidRPr="00C61F3D">
        <w:rPr>
          <w:rFonts w:ascii="Arial" w:eastAsia="Times New Roman" w:hAnsi="Arial" w:cs="Arial"/>
          <w:b/>
          <w:bCs/>
          <w:u w:val="single"/>
          <w:lang w:val="fr-FR" w:eastAsia="fr-FR"/>
        </w:rPr>
        <w:t xml:space="preserve"> :</w:t>
      </w:r>
      <w:r w:rsidRPr="00C61F3D">
        <w:rPr>
          <w:rFonts w:ascii="Arial" w:eastAsia="Times New Roman" w:hAnsi="Arial" w:cs="Arial"/>
          <w:sz w:val="20"/>
          <w:szCs w:val="20"/>
          <w:lang w:val="fr-FR" w:eastAsia="fr-FR"/>
        </w:rPr>
        <w:t xml:space="preserve">     </w:t>
      </w:r>
      <w:r w:rsidRPr="00C61F3D">
        <w:rPr>
          <w:rFonts w:ascii="Arial" w:eastAsia="Times New Roman" w:hAnsi="Arial" w:cs="Arial"/>
          <w:sz w:val="20"/>
          <w:szCs w:val="20"/>
          <w:lang w:val="fr-FR" w:eastAsia="fr-FR"/>
        </w:rPr>
        <w:tab/>
      </w:r>
      <w:r w:rsidRPr="00C61F3D">
        <w:rPr>
          <w:rFonts w:ascii="Arial" w:eastAsia="Times New Roman" w:hAnsi="Arial" w:cs="Arial"/>
          <w:sz w:val="20"/>
          <w:szCs w:val="20"/>
          <w:lang w:val="fr-FR" w:eastAsia="fr-FR"/>
        </w:rPr>
        <w:sym w:font="Wingdings" w:char="F0A8"/>
      </w:r>
      <w:r w:rsidRPr="00C61F3D">
        <w:rPr>
          <w:rFonts w:ascii="Arial" w:eastAsia="Times New Roman" w:hAnsi="Arial" w:cs="Arial"/>
          <w:sz w:val="20"/>
          <w:szCs w:val="20"/>
          <w:lang w:val="fr-FR" w:eastAsia="fr-FR"/>
        </w:rPr>
        <w:t xml:space="preserve"> Gîte        </w:t>
      </w:r>
      <w:r w:rsidRPr="00C61F3D">
        <w:rPr>
          <w:rFonts w:ascii="Arial" w:eastAsia="Times New Roman" w:hAnsi="Arial" w:cs="Arial"/>
          <w:sz w:val="20"/>
          <w:szCs w:val="20"/>
          <w:lang w:val="fr-FR" w:eastAsia="fr-FR"/>
        </w:rPr>
        <w:sym w:font="Wingdings" w:char="F0A8"/>
      </w:r>
      <w:r w:rsidRPr="00C61F3D">
        <w:rPr>
          <w:rFonts w:ascii="Arial" w:eastAsia="Times New Roman" w:hAnsi="Arial" w:cs="Arial"/>
          <w:sz w:val="20"/>
          <w:szCs w:val="20"/>
          <w:lang w:val="fr-FR" w:eastAsia="fr-FR"/>
        </w:rPr>
        <w:t xml:space="preserve"> Chambres Hôtes        </w:t>
      </w:r>
      <w:r w:rsidRPr="00C61F3D">
        <w:rPr>
          <w:rFonts w:ascii="Arial" w:eastAsia="Times New Roman" w:hAnsi="Arial" w:cs="Arial"/>
          <w:sz w:val="20"/>
          <w:szCs w:val="20"/>
          <w:lang w:val="fr-FR" w:eastAsia="fr-FR"/>
        </w:rPr>
        <w:sym w:font="Wingdings" w:char="F0A8"/>
      </w:r>
      <w:r w:rsidRPr="00C61F3D">
        <w:rPr>
          <w:rFonts w:ascii="Arial" w:eastAsia="Times New Roman" w:hAnsi="Arial" w:cs="Arial"/>
          <w:sz w:val="20"/>
          <w:szCs w:val="20"/>
          <w:lang w:val="fr-FR" w:eastAsia="fr-FR"/>
        </w:rPr>
        <w:t xml:space="preserve"> Logement Privé        </w:t>
      </w:r>
      <w:r w:rsidRPr="00C61F3D">
        <w:rPr>
          <w:rFonts w:ascii="Arial" w:eastAsia="Times New Roman" w:hAnsi="Arial" w:cs="Arial"/>
          <w:sz w:val="20"/>
          <w:szCs w:val="20"/>
          <w:lang w:val="fr-FR" w:eastAsia="fr-FR"/>
        </w:rPr>
        <w:sym w:font="Wingdings" w:char="F0A8"/>
      </w:r>
      <w:r w:rsidRPr="00C61F3D">
        <w:rPr>
          <w:rFonts w:ascii="Arial" w:eastAsia="Times New Roman" w:hAnsi="Arial" w:cs="Arial"/>
          <w:sz w:val="20"/>
          <w:szCs w:val="20"/>
          <w:lang w:val="fr-FR" w:eastAsia="fr-FR"/>
        </w:rPr>
        <w:t xml:space="preserve"> Hôtel     </w:t>
      </w:r>
    </w:p>
    <w:p w14:paraId="47859AFF" w14:textId="38083ED5" w:rsidR="00C61F3D" w:rsidRPr="00C61F3D" w:rsidRDefault="00C61F3D" w:rsidP="00C61F3D">
      <w:pPr>
        <w:spacing w:after="0" w:line="240" w:lineRule="auto"/>
        <w:rPr>
          <w:rFonts w:ascii="Times New Roman" w:eastAsia="Times New Roman" w:hAnsi="Times New Roman" w:cs="Times New Roman"/>
          <w:sz w:val="24"/>
          <w:szCs w:val="24"/>
          <w:lang w:eastAsia="fr-FR"/>
        </w:rPr>
      </w:pPr>
      <w:r w:rsidRPr="00C61F3D">
        <w:rPr>
          <w:rFonts w:ascii="Arial" w:eastAsia="Times New Roman" w:hAnsi="Arial" w:cs="Arial"/>
          <w:sz w:val="20"/>
          <w:szCs w:val="20"/>
          <w:lang w:val="fr-FR" w:eastAsia="fr-FR"/>
        </w:rPr>
        <w:tab/>
      </w:r>
      <w:r w:rsidRPr="00C61F3D">
        <w:rPr>
          <w:rFonts w:ascii="Arial" w:eastAsia="Times New Roman" w:hAnsi="Arial" w:cs="Arial"/>
          <w:sz w:val="20"/>
          <w:szCs w:val="20"/>
          <w:lang w:val="fr-FR" w:eastAsia="fr-FR"/>
        </w:rPr>
        <w:tab/>
      </w:r>
      <w:r w:rsidRPr="00C61F3D">
        <w:rPr>
          <w:rFonts w:ascii="Arial" w:eastAsia="Times New Roman" w:hAnsi="Arial" w:cs="Arial"/>
          <w:sz w:val="20"/>
          <w:szCs w:val="20"/>
          <w:lang w:val="fr-FR" w:eastAsia="fr-FR"/>
        </w:rPr>
        <w:tab/>
      </w:r>
      <w:r w:rsidRPr="00C61F3D">
        <w:rPr>
          <w:rFonts w:ascii="Arial" w:eastAsia="Times New Roman" w:hAnsi="Arial" w:cs="Arial"/>
          <w:sz w:val="20"/>
          <w:szCs w:val="20"/>
          <w:lang w:val="fr-FR" w:eastAsia="fr-FR"/>
        </w:rPr>
        <w:tab/>
      </w:r>
      <w:r w:rsidRPr="00C61F3D">
        <w:rPr>
          <w:rFonts w:ascii="Arial" w:eastAsia="Times New Roman" w:hAnsi="Arial" w:cs="Arial"/>
          <w:sz w:val="20"/>
          <w:szCs w:val="20"/>
          <w:lang w:val="fr-FR" w:eastAsia="fr-FR"/>
        </w:rPr>
        <w:sym w:font="Wingdings" w:char="F0A8"/>
      </w:r>
      <w:r w:rsidRPr="00C61F3D">
        <w:rPr>
          <w:rFonts w:ascii="Arial" w:eastAsia="Times New Roman" w:hAnsi="Arial" w:cs="Arial"/>
          <w:sz w:val="20"/>
          <w:szCs w:val="20"/>
          <w:lang w:val="fr-FR" w:eastAsia="fr-FR"/>
        </w:rPr>
        <w:t xml:space="preserve"> Autre établissement d’hébergement           </w:t>
      </w:r>
    </w:p>
    <w:p w14:paraId="026C74EF" w14:textId="77777777" w:rsidR="00C61F3D" w:rsidRPr="00C61F3D" w:rsidRDefault="00C61F3D" w:rsidP="00C61F3D">
      <w:pPr>
        <w:spacing w:after="0" w:line="240" w:lineRule="auto"/>
        <w:rPr>
          <w:rFonts w:ascii="Times New Roman" w:eastAsia="Times New Roman" w:hAnsi="Times New Roman" w:cs="Times New Roman"/>
          <w:sz w:val="24"/>
          <w:szCs w:val="24"/>
          <w:lang w:eastAsia="fr-FR"/>
        </w:rPr>
      </w:pPr>
    </w:p>
    <w:tbl>
      <w:tblPr>
        <w:tblStyle w:val="Grilledutableau"/>
        <w:tblW w:w="9781" w:type="dxa"/>
        <w:tblLook w:val="04A0" w:firstRow="1" w:lastRow="0" w:firstColumn="1" w:lastColumn="0" w:noHBand="0" w:noVBand="1"/>
      </w:tblPr>
      <w:tblGrid>
        <w:gridCol w:w="2689"/>
        <w:gridCol w:w="1842"/>
        <w:gridCol w:w="3262"/>
        <w:gridCol w:w="1988"/>
      </w:tblGrid>
      <w:tr w:rsidR="00C61F3D" w14:paraId="158931C4" w14:textId="77777777" w:rsidTr="009F28E6">
        <w:tc>
          <w:tcPr>
            <w:tcW w:w="4531" w:type="dxa"/>
            <w:gridSpan w:val="2"/>
            <w:tcBorders>
              <w:top w:val="nil"/>
              <w:left w:val="nil"/>
              <w:bottom w:val="nil"/>
              <w:right w:val="nil"/>
            </w:tcBorders>
          </w:tcPr>
          <w:p w14:paraId="440C269C" w14:textId="1210D9A8" w:rsidR="00C61F3D" w:rsidRPr="009F28E6" w:rsidRDefault="00C61F3D"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DENOMINATION DE L’HEBERGEMENT :</w:t>
            </w:r>
          </w:p>
        </w:tc>
        <w:tc>
          <w:tcPr>
            <w:tcW w:w="5250" w:type="dxa"/>
            <w:gridSpan w:val="2"/>
            <w:tcBorders>
              <w:top w:val="nil"/>
              <w:left w:val="nil"/>
              <w:bottom w:val="nil"/>
              <w:right w:val="nil"/>
            </w:tcBorders>
          </w:tcPr>
          <w:p w14:paraId="2131FB7A" w14:textId="1A00AB9F" w:rsidR="00C61F3D" w:rsidRPr="009F28E6" w:rsidRDefault="00C61F3D" w:rsidP="00BE2D9A">
            <w:pPr>
              <w:ind w:right="-826"/>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w:t>
            </w:r>
          </w:p>
        </w:tc>
      </w:tr>
      <w:tr w:rsidR="009F28E6" w14:paraId="12C171E4" w14:textId="77777777" w:rsidTr="009F28E6">
        <w:tc>
          <w:tcPr>
            <w:tcW w:w="4531" w:type="dxa"/>
            <w:gridSpan w:val="2"/>
            <w:tcBorders>
              <w:top w:val="nil"/>
              <w:left w:val="nil"/>
              <w:bottom w:val="nil"/>
              <w:right w:val="nil"/>
            </w:tcBorders>
          </w:tcPr>
          <w:p w14:paraId="7AD7E95A" w14:textId="77777777" w:rsidR="009F28E6" w:rsidRPr="009F28E6" w:rsidRDefault="009F28E6" w:rsidP="00C61F3D">
            <w:pPr>
              <w:rPr>
                <w:rFonts w:ascii="Times New Roman" w:eastAsia="Times New Roman" w:hAnsi="Times New Roman" w:cs="Times New Roman"/>
                <w:sz w:val="18"/>
                <w:szCs w:val="18"/>
                <w:lang w:eastAsia="fr-FR"/>
              </w:rPr>
            </w:pPr>
          </w:p>
        </w:tc>
        <w:tc>
          <w:tcPr>
            <w:tcW w:w="5250" w:type="dxa"/>
            <w:gridSpan w:val="2"/>
            <w:tcBorders>
              <w:top w:val="nil"/>
              <w:left w:val="nil"/>
              <w:bottom w:val="nil"/>
              <w:right w:val="nil"/>
            </w:tcBorders>
          </w:tcPr>
          <w:p w14:paraId="48201B3B" w14:textId="77777777" w:rsidR="009F28E6" w:rsidRPr="009F28E6" w:rsidRDefault="009F28E6" w:rsidP="00BE2D9A">
            <w:pPr>
              <w:ind w:right="-826"/>
              <w:rPr>
                <w:rFonts w:ascii="Times New Roman" w:eastAsia="Times New Roman" w:hAnsi="Times New Roman" w:cs="Times New Roman"/>
                <w:sz w:val="18"/>
                <w:szCs w:val="18"/>
                <w:lang w:eastAsia="fr-FR"/>
              </w:rPr>
            </w:pPr>
          </w:p>
        </w:tc>
      </w:tr>
      <w:tr w:rsidR="00BE2D9A" w14:paraId="39F43485" w14:textId="77777777" w:rsidTr="009F28E6">
        <w:tc>
          <w:tcPr>
            <w:tcW w:w="4531" w:type="dxa"/>
            <w:gridSpan w:val="2"/>
            <w:tcBorders>
              <w:top w:val="nil"/>
              <w:left w:val="nil"/>
              <w:bottom w:val="nil"/>
              <w:right w:val="nil"/>
            </w:tcBorders>
          </w:tcPr>
          <w:p w14:paraId="5DEEDF28" w14:textId="7DFD8A08" w:rsidR="00BE2D9A"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ADRESSE DE L’HEBERGEMENT</w:t>
            </w:r>
          </w:p>
        </w:tc>
        <w:tc>
          <w:tcPr>
            <w:tcW w:w="5250" w:type="dxa"/>
            <w:gridSpan w:val="2"/>
            <w:tcBorders>
              <w:top w:val="nil"/>
              <w:left w:val="nil"/>
              <w:bottom w:val="nil"/>
              <w:right w:val="nil"/>
            </w:tcBorders>
          </w:tcPr>
          <w:p w14:paraId="2FF3E064" w14:textId="1D10A9B2" w:rsidR="00BE2D9A"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w:t>
            </w:r>
          </w:p>
        </w:tc>
      </w:tr>
      <w:tr w:rsidR="009F28E6" w14:paraId="7D94EFC5" w14:textId="77777777" w:rsidTr="009F28E6">
        <w:tc>
          <w:tcPr>
            <w:tcW w:w="4531" w:type="dxa"/>
            <w:gridSpan w:val="2"/>
            <w:tcBorders>
              <w:top w:val="nil"/>
              <w:left w:val="nil"/>
              <w:bottom w:val="nil"/>
              <w:right w:val="nil"/>
            </w:tcBorders>
          </w:tcPr>
          <w:p w14:paraId="68A14609" w14:textId="77777777" w:rsidR="009F28E6" w:rsidRPr="009F28E6" w:rsidRDefault="009F28E6" w:rsidP="00C61F3D">
            <w:pPr>
              <w:rPr>
                <w:rFonts w:ascii="Times New Roman" w:eastAsia="Times New Roman" w:hAnsi="Times New Roman" w:cs="Times New Roman"/>
                <w:sz w:val="18"/>
                <w:szCs w:val="18"/>
                <w:lang w:eastAsia="fr-FR"/>
              </w:rPr>
            </w:pPr>
          </w:p>
        </w:tc>
        <w:tc>
          <w:tcPr>
            <w:tcW w:w="5250" w:type="dxa"/>
            <w:gridSpan w:val="2"/>
            <w:tcBorders>
              <w:top w:val="nil"/>
              <w:left w:val="nil"/>
              <w:bottom w:val="nil"/>
              <w:right w:val="nil"/>
            </w:tcBorders>
          </w:tcPr>
          <w:p w14:paraId="0E08AB01" w14:textId="77777777" w:rsidR="009F28E6" w:rsidRPr="009F28E6" w:rsidRDefault="009F28E6" w:rsidP="00C61F3D">
            <w:pPr>
              <w:rPr>
                <w:rFonts w:ascii="Times New Roman" w:eastAsia="Times New Roman" w:hAnsi="Times New Roman" w:cs="Times New Roman"/>
                <w:sz w:val="18"/>
                <w:szCs w:val="18"/>
                <w:lang w:eastAsia="fr-FR"/>
              </w:rPr>
            </w:pPr>
          </w:p>
        </w:tc>
      </w:tr>
      <w:tr w:rsidR="00400E0C" w14:paraId="7E797B05" w14:textId="77777777" w:rsidTr="009F28E6">
        <w:tc>
          <w:tcPr>
            <w:tcW w:w="2689" w:type="dxa"/>
            <w:tcBorders>
              <w:top w:val="nil"/>
              <w:left w:val="nil"/>
              <w:bottom w:val="nil"/>
              <w:right w:val="nil"/>
            </w:tcBorders>
          </w:tcPr>
          <w:p w14:paraId="3E6BC1A0" w14:textId="18E8B391" w:rsidR="00400E0C" w:rsidRPr="009F28E6" w:rsidRDefault="00400E0C"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N° RECONNAISSANCE :</w:t>
            </w:r>
          </w:p>
        </w:tc>
        <w:tc>
          <w:tcPr>
            <w:tcW w:w="1842" w:type="dxa"/>
            <w:tcBorders>
              <w:top w:val="nil"/>
              <w:left w:val="nil"/>
              <w:bottom w:val="nil"/>
              <w:right w:val="nil"/>
            </w:tcBorders>
          </w:tcPr>
          <w:p w14:paraId="46EFE619" w14:textId="4CDA7D01" w:rsidR="00400E0C" w:rsidRPr="009F28E6" w:rsidRDefault="00400E0C"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w:t>
            </w:r>
          </w:p>
        </w:tc>
        <w:tc>
          <w:tcPr>
            <w:tcW w:w="3262" w:type="dxa"/>
            <w:tcBorders>
              <w:top w:val="nil"/>
              <w:left w:val="nil"/>
              <w:bottom w:val="nil"/>
              <w:right w:val="nil"/>
            </w:tcBorders>
          </w:tcPr>
          <w:p w14:paraId="7C5B3827" w14:textId="1500CE61" w:rsidR="00400E0C" w:rsidRPr="009F28E6" w:rsidRDefault="00400E0C"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DATE DE RECONNAISSANCE</w:t>
            </w:r>
          </w:p>
        </w:tc>
        <w:tc>
          <w:tcPr>
            <w:tcW w:w="1988" w:type="dxa"/>
            <w:tcBorders>
              <w:top w:val="nil"/>
              <w:left w:val="nil"/>
              <w:bottom w:val="nil"/>
              <w:right w:val="nil"/>
            </w:tcBorders>
          </w:tcPr>
          <w:p w14:paraId="52861FA9" w14:textId="5C2B2116"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w:t>
            </w:r>
          </w:p>
        </w:tc>
      </w:tr>
      <w:tr w:rsidR="009F28E6" w14:paraId="7D44850D" w14:textId="77777777" w:rsidTr="009F28E6">
        <w:tc>
          <w:tcPr>
            <w:tcW w:w="2689" w:type="dxa"/>
            <w:tcBorders>
              <w:top w:val="nil"/>
              <w:left w:val="nil"/>
              <w:bottom w:val="nil"/>
              <w:right w:val="nil"/>
            </w:tcBorders>
          </w:tcPr>
          <w:p w14:paraId="0B1CE893" w14:textId="77777777" w:rsidR="009F28E6" w:rsidRPr="009F28E6" w:rsidRDefault="009F28E6" w:rsidP="00C61F3D">
            <w:pPr>
              <w:rPr>
                <w:rFonts w:ascii="Times New Roman" w:eastAsia="Times New Roman" w:hAnsi="Times New Roman" w:cs="Times New Roman"/>
                <w:sz w:val="18"/>
                <w:szCs w:val="18"/>
                <w:lang w:eastAsia="fr-FR"/>
              </w:rPr>
            </w:pPr>
          </w:p>
        </w:tc>
        <w:tc>
          <w:tcPr>
            <w:tcW w:w="1842" w:type="dxa"/>
            <w:tcBorders>
              <w:top w:val="nil"/>
              <w:left w:val="nil"/>
              <w:bottom w:val="nil"/>
              <w:right w:val="nil"/>
            </w:tcBorders>
          </w:tcPr>
          <w:p w14:paraId="6F1309EB" w14:textId="77777777" w:rsidR="009F28E6" w:rsidRPr="009F28E6" w:rsidRDefault="009F28E6" w:rsidP="00C61F3D">
            <w:pPr>
              <w:rPr>
                <w:rFonts w:ascii="Times New Roman" w:eastAsia="Times New Roman" w:hAnsi="Times New Roman" w:cs="Times New Roman"/>
                <w:sz w:val="18"/>
                <w:szCs w:val="18"/>
                <w:lang w:eastAsia="fr-FR"/>
              </w:rPr>
            </w:pPr>
          </w:p>
        </w:tc>
        <w:tc>
          <w:tcPr>
            <w:tcW w:w="3262" w:type="dxa"/>
            <w:tcBorders>
              <w:top w:val="nil"/>
              <w:left w:val="nil"/>
              <w:bottom w:val="nil"/>
              <w:right w:val="nil"/>
            </w:tcBorders>
          </w:tcPr>
          <w:p w14:paraId="48707741" w14:textId="77777777" w:rsidR="009F28E6" w:rsidRPr="009F28E6" w:rsidRDefault="009F28E6" w:rsidP="00C61F3D">
            <w:pPr>
              <w:rPr>
                <w:rFonts w:ascii="Times New Roman" w:eastAsia="Times New Roman" w:hAnsi="Times New Roman" w:cs="Times New Roman"/>
                <w:sz w:val="18"/>
                <w:szCs w:val="18"/>
                <w:lang w:eastAsia="fr-FR"/>
              </w:rPr>
            </w:pPr>
          </w:p>
        </w:tc>
        <w:tc>
          <w:tcPr>
            <w:tcW w:w="1988" w:type="dxa"/>
            <w:tcBorders>
              <w:top w:val="nil"/>
              <w:left w:val="nil"/>
              <w:bottom w:val="nil"/>
              <w:right w:val="nil"/>
            </w:tcBorders>
          </w:tcPr>
          <w:p w14:paraId="1D9BCE42" w14:textId="77777777" w:rsidR="009F28E6" w:rsidRPr="009F28E6" w:rsidRDefault="009F28E6" w:rsidP="00C61F3D">
            <w:pPr>
              <w:rPr>
                <w:rFonts w:ascii="Times New Roman" w:eastAsia="Times New Roman" w:hAnsi="Times New Roman" w:cs="Times New Roman"/>
                <w:sz w:val="18"/>
                <w:szCs w:val="18"/>
                <w:lang w:eastAsia="fr-FR"/>
              </w:rPr>
            </w:pPr>
          </w:p>
        </w:tc>
      </w:tr>
      <w:tr w:rsidR="00400E0C" w:rsidRPr="00400E0C" w14:paraId="042D98DF" w14:textId="77777777" w:rsidTr="009F28E6">
        <w:trPr>
          <w:trHeight w:val="658"/>
        </w:trPr>
        <w:tc>
          <w:tcPr>
            <w:tcW w:w="4531" w:type="dxa"/>
            <w:gridSpan w:val="2"/>
            <w:tcBorders>
              <w:top w:val="nil"/>
              <w:left w:val="nil"/>
              <w:bottom w:val="nil"/>
              <w:right w:val="nil"/>
            </w:tcBorders>
          </w:tcPr>
          <w:p w14:paraId="42FE6B82" w14:textId="118E7095"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 xml:space="preserve">NOM ET ADRESSE DE LA PERSONNE QUI DONNE LE LOGEMENT EN LOCATION </w:t>
            </w:r>
          </w:p>
        </w:tc>
        <w:tc>
          <w:tcPr>
            <w:tcW w:w="5250" w:type="dxa"/>
            <w:gridSpan w:val="2"/>
            <w:tcBorders>
              <w:top w:val="nil"/>
              <w:left w:val="nil"/>
              <w:bottom w:val="nil"/>
              <w:right w:val="nil"/>
            </w:tcBorders>
          </w:tcPr>
          <w:p w14:paraId="356F26BB" w14:textId="6EC68D18"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w:t>
            </w:r>
          </w:p>
        </w:tc>
      </w:tr>
      <w:tr w:rsidR="00400E0C" w:rsidRPr="00400E0C" w14:paraId="1804C391" w14:textId="77777777" w:rsidTr="009F28E6">
        <w:tc>
          <w:tcPr>
            <w:tcW w:w="4531" w:type="dxa"/>
            <w:gridSpan w:val="2"/>
            <w:tcBorders>
              <w:top w:val="nil"/>
              <w:left w:val="nil"/>
              <w:bottom w:val="nil"/>
              <w:right w:val="nil"/>
            </w:tcBorders>
          </w:tcPr>
          <w:p w14:paraId="1659F27B" w14:textId="24B67291"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TELEPHONE</w:t>
            </w:r>
            <w:proofErr w:type="gramStart"/>
            <w:r w:rsidRPr="009F28E6">
              <w:rPr>
                <w:rFonts w:ascii="Times New Roman" w:eastAsia="Times New Roman" w:hAnsi="Times New Roman" w:cs="Times New Roman"/>
                <w:sz w:val="18"/>
                <w:szCs w:val="18"/>
                <w:lang w:eastAsia="fr-FR"/>
              </w:rPr>
              <w:t> :-------------------------------------</w:t>
            </w:r>
            <w:proofErr w:type="gramEnd"/>
          </w:p>
        </w:tc>
        <w:tc>
          <w:tcPr>
            <w:tcW w:w="5250" w:type="dxa"/>
            <w:gridSpan w:val="2"/>
            <w:tcBorders>
              <w:top w:val="nil"/>
              <w:left w:val="nil"/>
              <w:bottom w:val="nil"/>
              <w:right w:val="nil"/>
            </w:tcBorders>
          </w:tcPr>
          <w:p w14:paraId="13B814DB" w14:textId="24CD686E"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FAX</w:t>
            </w:r>
            <w:proofErr w:type="gramStart"/>
            <w:r w:rsidRPr="009F28E6">
              <w:rPr>
                <w:rFonts w:ascii="Times New Roman" w:eastAsia="Times New Roman" w:hAnsi="Times New Roman" w:cs="Times New Roman"/>
                <w:sz w:val="18"/>
                <w:szCs w:val="18"/>
                <w:lang w:eastAsia="fr-FR"/>
              </w:rPr>
              <w:t> :-----------------------------------------------------------</w:t>
            </w:r>
            <w:proofErr w:type="gramEnd"/>
          </w:p>
        </w:tc>
      </w:tr>
      <w:tr w:rsidR="009F28E6" w:rsidRPr="00400E0C" w14:paraId="376AF90E" w14:textId="77777777" w:rsidTr="009F28E6">
        <w:tc>
          <w:tcPr>
            <w:tcW w:w="4531" w:type="dxa"/>
            <w:gridSpan w:val="2"/>
            <w:tcBorders>
              <w:top w:val="nil"/>
              <w:left w:val="nil"/>
              <w:bottom w:val="nil"/>
              <w:right w:val="nil"/>
            </w:tcBorders>
          </w:tcPr>
          <w:p w14:paraId="04714D0E" w14:textId="77777777" w:rsidR="009F28E6" w:rsidRPr="009F28E6" w:rsidRDefault="009F28E6" w:rsidP="00C61F3D">
            <w:pPr>
              <w:rPr>
                <w:rFonts w:ascii="Times New Roman" w:eastAsia="Times New Roman" w:hAnsi="Times New Roman" w:cs="Times New Roman"/>
                <w:sz w:val="18"/>
                <w:szCs w:val="18"/>
                <w:lang w:eastAsia="fr-FR"/>
              </w:rPr>
            </w:pPr>
          </w:p>
        </w:tc>
        <w:tc>
          <w:tcPr>
            <w:tcW w:w="5250" w:type="dxa"/>
            <w:gridSpan w:val="2"/>
            <w:tcBorders>
              <w:top w:val="nil"/>
              <w:left w:val="nil"/>
              <w:bottom w:val="nil"/>
              <w:right w:val="nil"/>
            </w:tcBorders>
          </w:tcPr>
          <w:p w14:paraId="09A5C45E" w14:textId="77777777" w:rsidR="009F28E6" w:rsidRPr="009F28E6" w:rsidRDefault="009F28E6" w:rsidP="00C61F3D">
            <w:pPr>
              <w:rPr>
                <w:rFonts w:ascii="Times New Roman" w:eastAsia="Times New Roman" w:hAnsi="Times New Roman" w:cs="Times New Roman"/>
                <w:sz w:val="18"/>
                <w:szCs w:val="18"/>
                <w:lang w:eastAsia="fr-FR"/>
              </w:rPr>
            </w:pPr>
          </w:p>
        </w:tc>
      </w:tr>
      <w:tr w:rsidR="00400E0C" w:rsidRPr="00400E0C" w14:paraId="420246AA" w14:textId="77777777" w:rsidTr="009F28E6">
        <w:trPr>
          <w:trHeight w:val="289"/>
        </w:trPr>
        <w:tc>
          <w:tcPr>
            <w:tcW w:w="4531" w:type="dxa"/>
            <w:gridSpan w:val="2"/>
            <w:tcBorders>
              <w:top w:val="nil"/>
              <w:left w:val="nil"/>
              <w:bottom w:val="nil"/>
              <w:right w:val="nil"/>
            </w:tcBorders>
          </w:tcPr>
          <w:p w14:paraId="2E91435F" w14:textId="75CC5D72"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MAIL</w:t>
            </w:r>
            <w:proofErr w:type="gramStart"/>
            <w:r w:rsidRPr="009F28E6">
              <w:rPr>
                <w:rFonts w:ascii="Times New Roman" w:eastAsia="Times New Roman" w:hAnsi="Times New Roman" w:cs="Times New Roman"/>
                <w:sz w:val="18"/>
                <w:szCs w:val="18"/>
                <w:lang w:eastAsia="fr-FR"/>
              </w:rPr>
              <w:t> :----------------------------------------------</w:t>
            </w:r>
            <w:proofErr w:type="gramEnd"/>
          </w:p>
        </w:tc>
        <w:tc>
          <w:tcPr>
            <w:tcW w:w="5250" w:type="dxa"/>
            <w:gridSpan w:val="2"/>
            <w:tcBorders>
              <w:top w:val="nil"/>
              <w:left w:val="nil"/>
              <w:bottom w:val="nil"/>
              <w:right w:val="nil"/>
            </w:tcBorders>
          </w:tcPr>
          <w:p w14:paraId="15D25B39" w14:textId="6A25BA7B"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SITE WEB</w:t>
            </w:r>
            <w:proofErr w:type="gramStart"/>
            <w:r w:rsidRPr="009F28E6">
              <w:rPr>
                <w:rFonts w:ascii="Times New Roman" w:eastAsia="Times New Roman" w:hAnsi="Times New Roman" w:cs="Times New Roman"/>
                <w:sz w:val="18"/>
                <w:szCs w:val="18"/>
                <w:lang w:eastAsia="fr-FR"/>
              </w:rPr>
              <w:t> :---------------------------------------------------</w:t>
            </w:r>
            <w:proofErr w:type="gramEnd"/>
          </w:p>
        </w:tc>
      </w:tr>
      <w:tr w:rsidR="009F28E6" w:rsidRPr="00400E0C" w14:paraId="000C50D7" w14:textId="77777777" w:rsidTr="009F28E6">
        <w:trPr>
          <w:trHeight w:val="289"/>
        </w:trPr>
        <w:tc>
          <w:tcPr>
            <w:tcW w:w="4531" w:type="dxa"/>
            <w:gridSpan w:val="2"/>
            <w:tcBorders>
              <w:top w:val="nil"/>
              <w:left w:val="nil"/>
              <w:bottom w:val="nil"/>
              <w:right w:val="nil"/>
            </w:tcBorders>
          </w:tcPr>
          <w:p w14:paraId="431A135B" w14:textId="77777777" w:rsidR="009F28E6" w:rsidRPr="009F28E6" w:rsidRDefault="009F28E6" w:rsidP="00C61F3D">
            <w:pPr>
              <w:rPr>
                <w:rFonts w:ascii="Times New Roman" w:eastAsia="Times New Roman" w:hAnsi="Times New Roman" w:cs="Times New Roman"/>
                <w:sz w:val="18"/>
                <w:szCs w:val="18"/>
                <w:lang w:eastAsia="fr-FR"/>
              </w:rPr>
            </w:pPr>
          </w:p>
        </w:tc>
        <w:tc>
          <w:tcPr>
            <w:tcW w:w="5250" w:type="dxa"/>
            <w:gridSpan w:val="2"/>
            <w:tcBorders>
              <w:top w:val="nil"/>
              <w:left w:val="nil"/>
              <w:bottom w:val="nil"/>
              <w:right w:val="nil"/>
            </w:tcBorders>
          </w:tcPr>
          <w:p w14:paraId="5A656CD0" w14:textId="77777777" w:rsidR="009F28E6" w:rsidRPr="009F28E6" w:rsidRDefault="009F28E6" w:rsidP="00C61F3D">
            <w:pPr>
              <w:rPr>
                <w:rFonts w:ascii="Times New Roman" w:eastAsia="Times New Roman" w:hAnsi="Times New Roman" w:cs="Times New Roman"/>
                <w:sz w:val="18"/>
                <w:szCs w:val="18"/>
                <w:lang w:eastAsia="fr-FR"/>
              </w:rPr>
            </w:pPr>
          </w:p>
        </w:tc>
      </w:tr>
      <w:tr w:rsidR="00400E0C" w:rsidRPr="00400E0C" w14:paraId="0D749BB8" w14:textId="77777777" w:rsidTr="009F28E6">
        <w:tc>
          <w:tcPr>
            <w:tcW w:w="4531" w:type="dxa"/>
            <w:gridSpan w:val="2"/>
            <w:tcBorders>
              <w:top w:val="nil"/>
              <w:left w:val="nil"/>
              <w:bottom w:val="nil"/>
              <w:right w:val="nil"/>
            </w:tcBorders>
          </w:tcPr>
          <w:p w14:paraId="6D2C1DA8" w14:textId="29F317A7" w:rsidR="00400E0C" w:rsidRPr="009F28E6" w:rsidRDefault="00BE2D9A" w:rsidP="00C61F3D">
            <w:pPr>
              <w:rPr>
                <w:rFonts w:ascii="Times New Roman" w:eastAsia="Times New Roman" w:hAnsi="Times New Roman" w:cs="Times New Roman"/>
                <w:sz w:val="18"/>
                <w:szCs w:val="18"/>
                <w:lang w:eastAsia="fr-FR"/>
              </w:rPr>
            </w:pPr>
            <w:r w:rsidRPr="009F28E6">
              <w:rPr>
                <w:rFonts w:ascii="Times New Roman" w:eastAsia="Times New Roman" w:hAnsi="Times New Roman" w:cs="Times New Roman"/>
                <w:sz w:val="18"/>
                <w:szCs w:val="18"/>
                <w:lang w:eastAsia="fr-FR"/>
              </w:rPr>
              <w:t>DATE</w:t>
            </w:r>
            <w:r w:rsidR="006B5548" w:rsidRPr="009F28E6">
              <w:rPr>
                <w:rFonts w:ascii="Times New Roman" w:eastAsia="Times New Roman" w:hAnsi="Times New Roman" w:cs="Times New Roman"/>
                <w:sz w:val="18"/>
                <w:szCs w:val="18"/>
                <w:lang w:eastAsia="fr-FR"/>
              </w:rPr>
              <w:t xml:space="preserve"> DEBUT ACTIVITE</w:t>
            </w:r>
            <w:proofErr w:type="gramStart"/>
            <w:r w:rsidR="006B5548" w:rsidRPr="009F28E6">
              <w:rPr>
                <w:rFonts w:ascii="Times New Roman" w:eastAsia="Times New Roman" w:hAnsi="Times New Roman" w:cs="Times New Roman"/>
                <w:sz w:val="18"/>
                <w:szCs w:val="18"/>
                <w:lang w:eastAsia="fr-FR"/>
              </w:rPr>
              <w:t> :---------------------</w:t>
            </w:r>
            <w:proofErr w:type="gramEnd"/>
          </w:p>
        </w:tc>
        <w:tc>
          <w:tcPr>
            <w:tcW w:w="5250" w:type="dxa"/>
            <w:gridSpan w:val="2"/>
            <w:tcBorders>
              <w:top w:val="nil"/>
              <w:left w:val="nil"/>
              <w:bottom w:val="nil"/>
              <w:right w:val="nil"/>
            </w:tcBorders>
          </w:tcPr>
          <w:p w14:paraId="507AAE11" w14:textId="77777777" w:rsidR="00400E0C" w:rsidRPr="009F28E6" w:rsidRDefault="00400E0C" w:rsidP="00C61F3D">
            <w:pPr>
              <w:rPr>
                <w:rFonts w:ascii="Times New Roman" w:eastAsia="Times New Roman" w:hAnsi="Times New Roman" w:cs="Times New Roman"/>
                <w:sz w:val="18"/>
                <w:szCs w:val="18"/>
                <w:lang w:eastAsia="fr-FR"/>
              </w:rPr>
            </w:pPr>
          </w:p>
        </w:tc>
      </w:tr>
    </w:tbl>
    <w:p w14:paraId="39253FCF" w14:textId="77777777" w:rsidR="00C61F3D" w:rsidRPr="00C61F3D" w:rsidRDefault="00C61F3D" w:rsidP="00C61F3D">
      <w:pPr>
        <w:spacing w:after="0" w:line="240" w:lineRule="auto"/>
        <w:rPr>
          <w:rFonts w:ascii="Times New Roman" w:eastAsia="Times New Roman" w:hAnsi="Times New Roman" w:cs="Times New Roman"/>
          <w:sz w:val="24"/>
          <w:szCs w:val="24"/>
          <w:lang w:eastAsia="fr-FR"/>
        </w:rPr>
      </w:pPr>
    </w:p>
    <w:p w14:paraId="78817B35" w14:textId="77777777" w:rsidR="009F28E6" w:rsidRPr="00D30BD7" w:rsidRDefault="009F28E6" w:rsidP="009F28E6">
      <w:pPr>
        <w:autoSpaceDE w:val="0"/>
        <w:autoSpaceDN w:val="0"/>
        <w:adjustRightInd w:val="0"/>
        <w:rPr>
          <w:rFonts w:ascii="Arial" w:hAnsi="Arial" w:cs="Arial"/>
          <w:u w:val="single"/>
          <w:lang w:val="fr-FR"/>
        </w:rPr>
      </w:pPr>
      <w:r w:rsidRPr="00D30BD7">
        <w:rPr>
          <w:lang w:eastAsia="fr-BE"/>
        </w:rPr>
        <w:t xml:space="preserve">Il faut entendre par lit, une unité de la capacité </w:t>
      </w:r>
      <w:r w:rsidRPr="00D30BD7">
        <w:rPr>
          <w:b/>
          <w:bCs/>
          <w:u w:val="single"/>
          <w:lang w:eastAsia="fr-BE"/>
        </w:rPr>
        <w:t>totale</w:t>
      </w:r>
      <w:r w:rsidRPr="00D30BD7">
        <w:rPr>
          <w:lang w:eastAsia="fr-BE"/>
        </w:rPr>
        <w:t xml:space="preserve"> d’hébergement. Il faut entendre par hébergement les établissements hôteliers, hébergements touristiques de terroir, meublés de vacances, campings touristiques, villages de vacances, hébergements insolites, logements Airbnb et autres logements similaires.</w:t>
      </w:r>
    </w:p>
    <w:p w14:paraId="0F6FEF24" w14:textId="653963CD" w:rsidR="00A878AA" w:rsidRDefault="009F28E6">
      <w:r w:rsidRPr="00916373">
        <w:rPr>
          <w:rFonts w:ascii="Arial" w:hAnsi="Arial" w:cs="Arial"/>
          <w:b/>
          <w:bCs/>
          <w:u w:val="single"/>
          <w:lang w:val="fr-FR"/>
        </w:rPr>
        <w:t>T</w:t>
      </w:r>
      <w:r>
        <w:rPr>
          <w:rFonts w:ascii="Arial" w:hAnsi="Arial" w:cs="Arial"/>
          <w:b/>
          <w:bCs/>
          <w:u w:val="single"/>
          <w:lang w:val="fr-FR"/>
        </w:rPr>
        <w:t>AXATION FORFAITAIRE</w:t>
      </w:r>
    </w:p>
    <w:tbl>
      <w:tblPr>
        <w:tblW w:w="9360" w:type="dxa"/>
        <w:tblInd w:w="-72" w:type="dxa"/>
        <w:tblLook w:val="01E0" w:firstRow="1" w:lastRow="1" w:firstColumn="1" w:lastColumn="1" w:noHBand="0" w:noVBand="0"/>
      </w:tblPr>
      <w:tblGrid>
        <w:gridCol w:w="1440"/>
        <w:gridCol w:w="3589"/>
        <w:gridCol w:w="911"/>
        <w:gridCol w:w="1800"/>
        <w:gridCol w:w="1620"/>
      </w:tblGrid>
      <w:tr w:rsidR="00C86700" w:rsidRPr="00C86700" w14:paraId="5BDE63C1" w14:textId="77777777" w:rsidTr="00C86700">
        <w:trPr>
          <w:trHeight w:val="397"/>
        </w:trPr>
        <w:tc>
          <w:tcPr>
            <w:tcW w:w="5029" w:type="dxa"/>
            <w:gridSpan w:val="2"/>
            <w:shd w:val="clear" w:color="auto" w:fill="auto"/>
            <w:vAlign w:val="bottom"/>
          </w:tcPr>
          <w:p w14:paraId="4676B38B" w14:textId="17CF61E3" w:rsidR="00C86700" w:rsidRPr="00C86700" w:rsidRDefault="00C86700" w:rsidP="00C86700">
            <w:p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Capacité totale</w:t>
            </w:r>
            <w:r w:rsidRPr="00C86700">
              <w:rPr>
                <w:rFonts w:ascii="Arial" w:eastAsia="Times New Roman" w:hAnsi="Arial" w:cs="Arial"/>
                <w:sz w:val="20"/>
                <w:szCs w:val="20"/>
                <w:lang w:val="fr-FR" w:eastAsia="fr-FR"/>
              </w:rPr>
              <w:t xml:space="preserve"> d’unités d’hébergement (personnes) :</w:t>
            </w:r>
          </w:p>
        </w:tc>
        <w:tc>
          <w:tcPr>
            <w:tcW w:w="911" w:type="dxa"/>
            <w:shd w:val="clear" w:color="auto" w:fill="auto"/>
            <w:vAlign w:val="bottom"/>
          </w:tcPr>
          <w:p w14:paraId="52D2A886" w14:textId="1F7EDFE9" w:rsidR="00C86700" w:rsidRPr="00C86700" w:rsidRDefault="00C86700" w:rsidP="00C86700">
            <w:p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w:t>
            </w:r>
          </w:p>
        </w:tc>
        <w:tc>
          <w:tcPr>
            <w:tcW w:w="1800" w:type="dxa"/>
            <w:shd w:val="clear" w:color="auto" w:fill="auto"/>
            <w:vAlign w:val="bottom"/>
          </w:tcPr>
          <w:p w14:paraId="7697EC07" w14:textId="77777777" w:rsidR="00C86700" w:rsidRPr="00C86700" w:rsidRDefault="00C86700" w:rsidP="00C86700">
            <w:pPr>
              <w:autoSpaceDE w:val="0"/>
              <w:autoSpaceDN w:val="0"/>
              <w:adjustRightInd w:val="0"/>
              <w:spacing w:after="0" w:line="240" w:lineRule="auto"/>
              <w:jc w:val="center"/>
              <w:rPr>
                <w:rFonts w:ascii="Arial" w:eastAsia="Times New Roman" w:hAnsi="Arial" w:cs="Arial"/>
                <w:b/>
                <w:sz w:val="20"/>
                <w:szCs w:val="20"/>
                <w:lang w:val="fr-FR" w:eastAsia="fr-FR"/>
              </w:rPr>
            </w:pPr>
            <w:r w:rsidRPr="00C86700">
              <w:rPr>
                <w:rFonts w:ascii="Arial" w:eastAsia="Times New Roman" w:hAnsi="Arial" w:cs="Arial"/>
                <w:b/>
                <w:sz w:val="20"/>
                <w:szCs w:val="20"/>
                <w:lang w:val="fr-FR" w:eastAsia="fr-FR"/>
              </w:rPr>
              <w:t xml:space="preserve">  </w:t>
            </w:r>
            <w:proofErr w:type="gramStart"/>
            <w:r w:rsidRPr="00C86700">
              <w:rPr>
                <w:rFonts w:ascii="Arial" w:eastAsia="Times New Roman" w:hAnsi="Arial" w:cs="Arial"/>
                <w:b/>
                <w:sz w:val="20"/>
                <w:szCs w:val="20"/>
                <w:lang w:val="fr-FR" w:eastAsia="fr-FR"/>
              </w:rPr>
              <w:t>x</w:t>
            </w:r>
            <w:proofErr w:type="gramEnd"/>
            <w:r w:rsidRPr="00C86700">
              <w:rPr>
                <w:rFonts w:ascii="Arial" w:eastAsia="Times New Roman" w:hAnsi="Arial" w:cs="Arial"/>
                <w:b/>
                <w:sz w:val="20"/>
                <w:szCs w:val="20"/>
                <w:lang w:val="fr-FR" w:eastAsia="fr-FR"/>
              </w:rPr>
              <w:t xml:space="preserve"> 70,00 € / an =</w:t>
            </w:r>
          </w:p>
        </w:tc>
        <w:tc>
          <w:tcPr>
            <w:tcW w:w="1620" w:type="dxa"/>
            <w:shd w:val="clear" w:color="auto" w:fill="auto"/>
            <w:vAlign w:val="bottom"/>
          </w:tcPr>
          <w:p w14:paraId="3D46B018" w14:textId="6DA551ED" w:rsidR="00C86700" w:rsidRPr="00C86700" w:rsidRDefault="00C86700" w:rsidP="00C86700">
            <w:pPr>
              <w:autoSpaceDE w:val="0"/>
              <w:autoSpaceDN w:val="0"/>
              <w:adjustRightInd w:val="0"/>
              <w:spacing w:after="0" w:line="240" w:lineRule="auto"/>
              <w:jc w:val="right"/>
              <w:rPr>
                <w:rFonts w:ascii="Arial" w:eastAsia="Times New Roman" w:hAnsi="Arial" w:cs="Arial"/>
                <w:sz w:val="20"/>
                <w:szCs w:val="20"/>
                <w:lang w:val="fr-FR" w:eastAsia="fr-FR"/>
              </w:rPr>
            </w:pPr>
            <w:r w:rsidRPr="003C20E7">
              <w:rPr>
                <w:rFonts w:ascii="Arial" w:eastAsia="Times New Roman" w:hAnsi="Arial" w:cs="Arial"/>
                <w:sz w:val="20"/>
                <w:szCs w:val="20"/>
                <w:lang w:val="fr-FR" w:eastAsia="fr-FR"/>
              </w:rPr>
              <w:t>-------------------</w:t>
            </w:r>
            <w:r w:rsidRPr="00C86700">
              <w:rPr>
                <w:rFonts w:ascii="Arial" w:eastAsia="Times New Roman" w:hAnsi="Arial" w:cs="Arial"/>
                <w:sz w:val="20"/>
                <w:szCs w:val="20"/>
                <w:lang w:val="fr-FR" w:eastAsia="fr-FR"/>
              </w:rPr>
              <w:t>€</w:t>
            </w:r>
          </w:p>
        </w:tc>
      </w:tr>
      <w:tr w:rsidR="003C20E7" w:rsidRPr="00C86700" w14:paraId="0326E3B7" w14:textId="77777777" w:rsidTr="00C86700">
        <w:trPr>
          <w:trHeight w:val="840"/>
        </w:trPr>
        <w:tc>
          <w:tcPr>
            <w:tcW w:w="7740" w:type="dxa"/>
            <w:gridSpan w:val="4"/>
            <w:shd w:val="clear" w:color="auto" w:fill="auto"/>
            <w:vAlign w:val="bottom"/>
          </w:tcPr>
          <w:p w14:paraId="27A6BC78" w14:textId="77777777" w:rsidR="003C20E7" w:rsidRDefault="003C20E7" w:rsidP="003C20E7">
            <w:pPr>
              <w:autoSpaceDE w:val="0"/>
              <w:autoSpaceDN w:val="0"/>
              <w:adjustRightInd w:val="0"/>
              <w:spacing w:after="0" w:line="240" w:lineRule="auto"/>
              <w:jc w:val="right"/>
              <w:rPr>
                <w:rFonts w:ascii="Arial" w:eastAsia="Times New Roman" w:hAnsi="Arial" w:cs="Arial"/>
                <w:sz w:val="20"/>
                <w:szCs w:val="20"/>
                <w:lang w:val="fr-FR" w:eastAsia="fr-FR"/>
              </w:rPr>
            </w:pPr>
            <w:r w:rsidRPr="00C86700">
              <w:rPr>
                <w:rFonts w:ascii="Arial" w:eastAsia="Times New Roman" w:hAnsi="Arial" w:cs="Arial"/>
                <w:sz w:val="20"/>
                <w:szCs w:val="20"/>
                <w:lang w:val="fr-FR" w:eastAsia="fr-FR"/>
              </w:rPr>
              <w:t>Si logement reconnu, appli</w:t>
            </w:r>
            <w:r>
              <w:rPr>
                <w:rFonts w:ascii="Arial" w:eastAsia="Times New Roman" w:hAnsi="Arial" w:cs="Arial"/>
                <w:sz w:val="20"/>
                <w:szCs w:val="20"/>
                <w:lang w:val="fr-FR" w:eastAsia="fr-FR"/>
              </w:rPr>
              <w:t xml:space="preserve">cation </w:t>
            </w:r>
            <w:proofErr w:type="gramStart"/>
            <w:r>
              <w:rPr>
                <w:rFonts w:ascii="Arial" w:eastAsia="Times New Roman" w:hAnsi="Arial" w:cs="Arial"/>
                <w:sz w:val="20"/>
                <w:szCs w:val="20"/>
                <w:lang w:val="fr-FR" w:eastAsia="fr-FR"/>
              </w:rPr>
              <w:t>d’</w:t>
            </w:r>
            <w:r w:rsidRPr="00C86700">
              <w:rPr>
                <w:rFonts w:ascii="Arial" w:eastAsia="Times New Roman" w:hAnsi="Arial" w:cs="Arial"/>
                <w:sz w:val="20"/>
                <w:szCs w:val="20"/>
                <w:lang w:val="fr-FR" w:eastAsia="fr-FR"/>
              </w:rPr>
              <w:t xml:space="preserve"> une</w:t>
            </w:r>
            <w:proofErr w:type="gramEnd"/>
            <w:r w:rsidRPr="00C86700">
              <w:rPr>
                <w:rFonts w:ascii="Arial" w:eastAsia="Times New Roman" w:hAnsi="Arial" w:cs="Arial"/>
                <w:sz w:val="20"/>
                <w:szCs w:val="20"/>
                <w:lang w:val="fr-FR" w:eastAsia="fr-FR"/>
              </w:rPr>
              <w:t xml:space="preserve"> </w:t>
            </w:r>
            <w:r w:rsidRPr="00C86700">
              <w:rPr>
                <w:rFonts w:ascii="Arial" w:eastAsia="Times New Roman" w:hAnsi="Arial" w:cs="Arial"/>
                <w:b/>
                <w:sz w:val="20"/>
                <w:szCs w:val="20"/>
                <w:lang w:val="fr-FR" w:eastAsia="fr-FR"/>
              </w:rPr>
              <w:t>réduction de 50 %</w:t>
            </w:r>
            <w:r w:rsidRPr="00C86700">
              <w:rPr>
                <w:rFonts w:ascii="Arial" w:eastAsia="Times New Roman" w:hAnsi="Arial" w:cs="Arial"/>
                <w:sz w:val="20"/>
                <w:szCs w:val="20"/>
                <w:lang w:val="fr-FR" w:eastAsia="fr-FR"/>
              </w:rPr>
              <w:t xml:space="preserve"> sur le montant calculé :</w:t>
            </w:r>
          </w:p>
          <w:p w14:paraId="045D16C3" w14:textId="5829B005" w:rsidR="003C20E7" w:rsidRPr="00C86700" w:rsidRDefault="003C20E7" w:rsidP="003C20E7">
            <w:pPr>
              <w:autoSpaceDE w:val="0"/>
              <w:autoSpaceDN w:val="0"/>
              <w:adjustRightInd w:val="0"/>
              <w:spacing w:after="0" w:line="240" w:lineRule="auto"/>
              <w:jc w:val="center"/>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Copie obligatoire de l’autorisation en annexe</w:t>
            </w:r>
          </w:p>
          <w:p w14:paraId="7DA5D78C" w14:textId="42990B8E" w:rsidR="003C20E7" w:rsidRPr="00C86700" w:rsidRDefault="003C20E7" w:rsidP="003C20E7">
            <w:pPr>
              <w:autoSpaceDE w:val="0"/>
              <w:autoSpaceDN w:val="0"/>
              <w:adjustRightInd w:val="0"/>
              <w:spacing w:after="0" w:line="240" w:lineRule="auto"/>
              <w:jc w:val="right"/>
              <w:rPr>
                <w:rFonts w:ascii="Arial" w:eastAsia="Times New Roman" w:hAnsi="Arial" w:cs="Arial"/>
                <w:sz w:val="20"/>
                <w:szCs w:val="20"/>
                <w:lang w:val="fr-FR" w:eastAsia="fr-FR"/>
              </w:rPr>
            </w:pPr>
          </w:p>
        </w:tc>
        <w:tc>
          <w:tcPr>
            <w:tcW w:w="1620" w:type="dxa"/>
            <w:shd w:val="clear" w:color="auto" w:fill="auto"/>
            <w:vAlign w:val="center"/>
          </w:tcPr>
          <w:p w14:paraId="16F918A9" w14:textId="77777777" w:rsidR="003C20E7" w:rsidRDefault="003C20E7" w:rsidP="003C20E7">
            <w:pPr>
              <w:pStyle w:val="Paragraphedeliste"/>
              <w:autoSpaceDE w:val="0"/>
              <w:autoSpaceDN w:val="0"/>
              <w:adjustRightInd w:val="0"/>
              <w:spacing w:before="240" w:after="0" w:line="240" w:lineRule="auto"/>
              <w:ind w:left="0"/>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w:t>
            </w:r>
          </w:p>
          <w:p w14:paraId="5E4B2066" w14:textId="5A1C23F7" w:rsidR="003C20E7" w:rsidRPr="003C20E7" w:rsidRDefault="005D5D5C" w:rsidP="005D5D5C">
            <w:pPr>
              <w:pStyle w:val="Paragraphedeliste"/>
              <w:autoSpaceDE w:val="0"/>
              <w:autoSpaceDN w:val="0"/>
              <w:adjustRightInd w:val="0"/>
              <w:spacing w:before="240" w:after="0" w:line="240" w:lineRule="auto"/>
              <w:ind w:left="0"/>
              <w:jc w:val="both"/>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w:t>
            </w:r>
          </w:p>
        </w:tc>
      </w:tr>
      <w:tr w:rsidR="00C86700" w:rsidRPr="00C86700" w14:paraId="318241E1" w14:textId="77777777" w:rsidTr="00C86700">
        <w:trPr>
          <w:trHeight w:val="510"/>
        </w:trPr>
        <w:tc>
          <w:tcPr>
            <w:tcW w:w="7740" w:type="dxa"/>
            <w:gridSpan w:val="4"/>
            <w:shd w:val="clear" w:color="auto" w:fill="auto"/>
            <w:vAlign w:val="bottom"/>
          </w:tcPr>
          <w:p w14:paraId="05FAA439" w14:textId="77777777" w:rsidR="00C86700" w:rsidRPr="00C86700" w:rsidRDefault="00C86700" w:rsidP="00C86700">
            <w:pPr>
              <w:autoSpaceDE w:val="0"/>
              <w:autoSpaceDN w:val="0"/>
              <w:adjustRightInd w:val="0"/>
              <w:spacing w:after="0" w:line="240" w:lineRule="auto"/>
              <w:jc w:val="right"/>
              <w:rPr>
                <w:rFonts w:ascii="Arial" w:eastAsia="Times New Roman" w:hAnsi="Arial" w:cs="Arial"/>
                <w:sz w:val="20"/>
                <w:szCs w:val="20"/>
                <w:lang w:val="fr-FR" w:eastAsia="fr-FR"/>
              </w:rPr>
            </w:pPr>
            <w:r w:rsidRPr="00C86700">
              <w:rPr>
                <w:rFonts w:ascii="Arial" w:eastAsia="Times New Roman" w:hAnsi="Arial" w:cs="Arial"/>
                <w:sz w:val="20"/>
                <w:szCs w:val="20"/>
                <w:lang w:val="fr-FR" w:eastAsia="fr-FR"/>
              </w:rPr>
              <w:t>Soit un montant total dû de :</w:t>
            </w:r>
          </w:p>
        </w:tc>
        <w:tc>
          <w:tcPr>
            <w:tcW w:w="1620" w:type="dxa"/>
            <w:shd w:val="clear" w:color="auto" w:fill="auto"/>
            <w:vAlign w:val="bottom"/>
          </w:tcPr>
          <w:p w14:paraId="7B7ACFC9" w14:textId="64552B66" w:rsidR="00C86700" w:rsidRPr="00C86700" w:rsidRDefault="003C20E7" w:rsidP="00C86700">
            <w:pPr>
              <w:autoSpaceDE w:val="0"/>
              <w:autoSpaceDN w:val="0"/>
              <w:adjustRightInd w:val="0"/>
              <w:spacing w:after="0" w:line="240" w:lineRule="auto"/>
              <w:jc w:val="right"/>
              <w:rPr>
                <w:rFonts w:ascii="Arial" w:eastAsia="Times New Roman" w:hAnsi="Arial" w:cs="Arial"/>
                <w:b/>
                <w:bCs/>
                <w:sz w:val="20"/>
                <w:szCs w:val="20"/>
                <w:lang w:val="fr-FR" w:eastAsia="fr-FR"/>
              </w:rPr>
            </w:pPr>
            <w:r>
              <w:rPr>
                <w:rFonts w:ascii="Arial" w:eastAsia="Times New Roman" w:hAnsi="Arial" w:cs="Arial"/>
                <w:sz w:val="20"/>
                <w:szCs w:val="20"/>
                <w:u w:val="single"/>
                <w:lang w:val="fr-FR" w:eastAsia="fr-FR"/>
              </w:rPr>
              <w:t>___________</w:t>
            </w:r>
            <w:r w:rsidR="00C86700" w:rsidRPr="00C86700">
              <w:rPr>
                <w:rFonts w:ascii="Arial" w:eastAsia="Times New Roman" w:hAnsi="Arial" w:cs="Arial"/>
                <w:b/>
                <w:bCs/>
                <w:sz w:val="20"/>
                <w:szCs w:val="20"/>
                <w:lang w:val="fr-FR" w:eastAsia="fr-FR"/>
              </w:rPr>
              <w:t>€</w:t>
            </w:r>
          </w:p>
        </w:tc>
      </w:tr>
      <w:tr w:rsidR="00C86700" w:rsidRPr="00C86700" w14:paraId="34768AAB" w14:textId="77777777" w:rsidTr="00C86700">
        <w:trPr>
          <w:trHeight w:val="510"/>
        </w:trPr>
        <w:tc>
          <w:tcPr>
            <w:tcW w:w="1440" w:type="dxa"/>
            <w:shd w:val="clear" w:color="auto" w:fill="auto"/>
            <w:vAlign w:val="bottom"/>
          </w:tcPr>
          <w:p w14:paraId="6D2626A2" w14:textId="77777777" w:rsidR="00C86700" w:rsidRPr="00C86700" w:rsidRDefault="00C86700" w:rsidP="00C86700">
            <w:pPr>
              <w:autoSpaceDE w:val="0"/>
              <w:autoSpaceDN w:val="0"/>
              <w:adjustRightInd w:val="0"/>
              <w:spacing w:after="0" w:line="240" w:lineRule="auto"/>
              <w:jc w:val="right"/>
              <w:rPr>
                <w:rFonts w:ascii="Arial" w:eastAsia="Times New Roman" w:hAnsi="Arial" w:cs="Arial"/>
                <w:sz w:val="20"/>
                <w:szCs w:val="20"/>
                <w:lang w:val="fr-FR" w:eastAsia="fr-FR"/>
              </w:rPr>
            </w:pPr>
            <w:r w:rsidRPr="00C86700">
              <w:rPr>
                <w:rFonts w:ascii="Arial" w:eastAsia="Times New Roman" w:hAnsi="Arial" w:cs="Arial"/>
                <w:sz w:val="20"/>
                <w:szCs w:val="20"/>
                <w:lang w:val="fr-FR" w:eastAsia="fr-FR"/>
              </w:rPr>
              <w:t>Soit en lettres</w:t>
            </w:r>
          </w:p>
        </w:tc>
        <w:tc>
          <w:tcPr>
            <w:tcW w:w="7920" w:type="dxa"/>
            <w:gridSpan w:val="4"/>
            <w:shd w:val="clear" w:color="auto" w:fill="auto"/>
            <w:vAlign w:val="center"/>
          </w:tcPr>
          <w:p w14:paraId="6BA50325" w14:textId="77777777" w:rsidR="00C86700" w:rsidRPr="00C86700" w:rsidRDefault="00C86700" w:rsidP="00C86700">
            <w:pPr>
              <w:autoSpaceDE w:val="0"/>
              <w:autoSpaceDN w:val="0"/>
              <w:adjustRightInd w:val="0"/>
              <w:spacing w:after="0" w:line="240" w:lineRule="auto"/>
              <w:jc w:val="right"/>
              <w:rPr>
                <w:rFonts w:ascii="Arial" w:eastAsia="Times New Roman" w:hAnsi="Arial" w:cs="Arial"/>
                <w:b/>
                <w:bCs/>
                <w:sz w:val="20"/>
                <w:szCs w:val="20"/>
                <w:lang w:val="fr-FR" w:eastAsia="fr-FR"/>
              </w:rPr>
            </w:pPr>
          </w:p>
        </w:tc>
      </w:tr>
    </w:tbl>
    <w:p w14:paraId="42B28F13" w14:textId="77777777" w:rsidR="00C86700" w:rsidRPr="00C86700" w:rsidRDefault="00C86700" w:rsidP="00C86700">
      <w:pPr>
        <w:autoSpaceDE w:val="0"/>
        <w:autoSpaceDN w:val="0"/>
        <w:adjustRightInd w:val="0"/>
        <w:spacing w:after="0" w:line="240" w:lineRule="auto"/>
        <w:rPr>
          <w:rFonts w:ascii="Arial" w:eastAsia="Times New Roman" w:hAnsi="Arial" w:cs="Arial"/>
          <w:b/>
          <w:bCs/>
          <w:lang w:val="fr-FR" w:eastAsia="fr-FR"/>
        </w:rPr>
      </w:pPr>
    </w:p>
    <w:p w14:paraId="57279448" w14:textId="77777777" w:rsidR="00C86700" w:rsidRPr="00C86700" w:rsidRDefault="00C86700" w:rsidP="00C86700">
      <w:pPr>
        <w:autoSpaceDE w:val="0"/>
        <w:autoSpaceDN w:val="0"/>
        <w:adjustRightInd w:val="0"/>
        <w:spacing w:after="0" w:line="240" w:lineRule="auto"/>
        <w:jc w:val="right"/>
        <w:rPr>
          <w:rFonts w:ascii="Arial" w:eastAsia="Times New Roman" w:hAnsi="Arial" w:cs="Arial"/>
          <w:b/>
          <w:bCs/>
          <w:lang w:val="fr-FR" w:eastAsia="fr-FR"/>
        </w:rPr>
      </w:pP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proofErr w:type="gramStart"/>
      <w:r w:rsidRPr="00C86700">
        <w:rPr>
          <w:rFonts w:ascii="Arial" w:eastAsia="Times New Roman" w:hAnsi="Arial" w:cs="Arial"/>
          <w:b/>
          <w:bCs/>
          <w:lang w:val="fr-FR" w:eastAsia="fr-FR"/>
        </w:rPr>
        <w:t>DATE  ......</w:t>
      </w:r>
      <w:proofErr w:type="gramEnd"/>
      <w:r w:rsidRPr="00C86700">
        <w:rPr>
          <w:rFonts w:ascii="Arial" w:eastAsia="Times New Roman" w:hAnsi="Arial" w:cs="Arial"/>
          <w:b/>
          <w:bCs/>
          <w:lang w:val="fr-FR" w:eastAsia="fr-FR"/>
        </w:rPr>
        <w:t xml:space="preserve"> / ........ / ........ </w:t>
      </w:r>
    </w:p>
    <w:p w14:paraId="247079D5" w14:textId="77777777" w:rsidR="00C86700" w:rsidRPr="00C86700" w:rsidRDefault="00C86700" w:rsidP="00C86700">
      <w:pPr>
        <w:autoSpaceDE w:val="0"/>
        <w:autoSpaceDN w:val="0"/>
        <w:adjustRightInd w:val="0"/>
        <w:spacing w:after="0" w:line="240" w:lineRule="auto"/>
        <w:jc w:val="right"/>
        <w:rPr>
          <w:rFonts w:ascii="Arial" w:eastAsia="Times New Roman" w:hAnsi="Arial" w:cs="Arial"/>
          <w:b/>
          <w:bCs/>
          <w:lang w:val="fr-FR" w:eastAsia="fr-FR"/>
        </w:rPr>
      </w:pP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r w:rsidRPr="00C86700">
        <w:rPr>
          <w:rFonts w:ascii="Arial" w:eastAsia="Times New Roman" w:hAnsi="Arial" w:cs="Arial"/>
          <w:b/>
          <w:bCs/>
          <w:lang w:val="fr-FR" w:eastAsia="fr-FR"/>
        </w:rPr>
        <w:tab/>
      </w:r>
    </w:p>
    <w:p w14:paraId="09FE9488" w14:textId="77777777" w:rsidR="00C86700" w:rsidRPr="00C86700" w:rsidRDefault="00C86700" w:rsidP="00C86700">
      <w:pPr>
        <w:autoSpaceDE w:val="0"/>
        <w:autoSpaceDN w:val="0"/>
        <w:adjustRightInd w:val="0"/>
        <w:spacing w:after="0" w:line="240" w:lineRule="auto"/>
        <w:jc w:val="right"/>
        <w:rPr>
          <w:rFonts w:ascii="Arial" w:eastAsia="Times New Roman" w:hAnsi="Arial" w:cs="Arial"/>
          <w:b/>
          <w:bCs/>
          <w:lang w:val="fr-FR" w:eastAsia="fr-FR"/>
        </w:rPr>
      </w:pPr>
    </w:p>
    <w:p w14:paraId="1BB1F0AE" w14:textId="77777777" w:rsidR="00C86700" w:rsidRPr="00C86700" w:rsidRDefault="00C86700" w:rsidP="00C86700">
      <w:pPr>
        <w:autoSpaceDE w:val="0"/>
        <w:autoSpaceDN w:val="0"/>
        <w:adjustRightInd w:val="0"/>
        <w:spacing w:after="0" w:line="240" w:lineRule="auto"/>
        <w:jc w:val="right"/>
        <w:rPr>
          <w:rFonts w:ascii="Arial" w:eastAsia="Times New Roman" w:hAnsi="Arial" w:cs="Arial"/>
          <w:b/>
          <w:bCs/>
          <w:lang w:val="fr-FR" w:eastAsia="fr-FR"/>
        </w:rPr>
      </w:pPr>
      <w:r w:rsidRPr="00C86700">
        <w:rPr>
          <w:rFonts w:ascii="Arial" w:eastAsia="Times New Roman" w:hAnsi="Arial" w:cs="Arial"/>
          <w:b/>
          <w:bCs/>
          <w:lang w:val="fr-FR" w:eastAsia="fr-FR"/>
        </w:rPr>
        <w:t>SIGNATURE</w:t>
      </w:r>
    </w:p>
    <w:p w14:paraId="146AF62A" w14:textId="337A81AF" w:rsidR="00C86700" w:rsidRDefault="00C86700" w:rsidP="00C86700">
      <w:pPr>
        <w:autoSpaceDE w:val="0"/>
        <w:autoSpaceDN w:val="0"/>
        <w:adjustRightInd w:val="0"/>
        <w:spacing w:after="0" w:line="240" w:lineRule="auto"/>
        <w:jc w:val="right"/>
        <w:rPr>
          <w:rFonts w:ascii="Arial" w:eastAsia="Times New Roman" w:hAnsi="Arial" w:cs="Arial"/>
          <w:sz w:val="18"/>
          <w:szCs w:val="18"/>
          <w:lang w:val="fr-FR" w:eastAsia="fr-FR"/>
        </w:rPr>
      </w:pPr>
      <w:r w:rsidRPr="00C86700">
        <w:rPr>
          <w:rFonts w:ascii="Arial" w:eastAsia="Times New Roman" w:hAnsi="Arial" w:cs="Arial"/>
          <w:sz w:val="18"/>
          <w:szCs w:val="18"/>
          <w:lang w:val="fr-FR" w:eastAsia="fr-FR"/>
        </w:rPr>
        <w:t>(Précédée de certifié sincère et véritable)</w:t>
      </w:r>
    </w:p>
    <w:p w14:paraId="7DCDEE63" w14:textId="603F47AB" w:rsidR="00822AD2" w:rsidRDefault="00822AD2" w:rsidP="00C86700">
      <w:pPr>
        <w:autoSpaceDE w:val="0"/>
        <w:autoSpaceDN w:val="0"/>
        <w:adjustRightInd w:val="0"/>
        <w:spacing w:after="0" w:line="240" w:lineRule="auto"/>
        <w:jc w:val="right"/>
        <w:rPr>
          <w:rFonts w:ascii="Arial" w:eastAsia="Times New Roman" w:hAnsi="Arial" w:cs="Arial"/>
          <w:sz w:val="18"/>
          <w:szCs w:val="18"/>
          <w:lang w:val="fr-FR" w:eastAsia="fr-FR"/>
        </w:rPr>
      </w:pPr>
    </w:p>
    <w:p w14:paraId="08C83BFA"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sz w:val="18"/>
          <w:szCs w:val="18"/>
          <w:lang w:eastAsia="fr-BE"/>
        </w:rPr>
        <w:lastRenderedPageBreak/>
        <w:t>Article 1</w:t>
      </w:r>
      <w:r w:rsidRPr="00C03861">
        <w:rPr>
          <w:rFonts w:eastAsia="Times New Roman" w:cstheme="minorHAnsi"/>
          <w:sz w:val="18"/>
          <w:szCs w:val="18"/>
          <w:lang w:eastAsia="fr-BE"/>
        </w:rPr>
        <w:t xml:space="preserve"> : D'établir, pour les exercices </w:t>
      </w:r>
      <w:r w:rsidRPr="00C03861">
        <w:rPr>
          <w:rFonts w:eastAsia="Times New Roman" w:cstheme="minorHAnsi"/>
          <w:b/>
          <w:bCs/>
          <w:sz w:val="18"/>
          <w:szCs w:val="18"/>
          <w:lang w:eastAsia="fr-BE"/>
        </w:rPr>
        <w:t>2023 à 2025</w:t>
      </w:r>
      <w:r w:rsidRPr="00C03861">
        <w:rPr>
          <w:rFonts w:eastAsia="Times New Roman" w:cstheme="minorHAnsi"/>
          <w:sz w:val="18"/>
          <w:szCs w:val="18"/>
          <w:lang w:eastAsia="fr-BE"/>
        </w:rPr>
        <w:t>, une taxe communale annuelle de séjours. Est visé le séjour des personnes non inscrites au registre de population ou au registre des étrangers comme domiciliées ou résidant dans la Commune.</w:t>
      </w:r>
    </w:p>
    <w:p w14:paraId="04B191CF"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 xml:space="preserve">Article </w:t>
      </w:r>
      <w:proofErr w:type="gramStart"/>
      <w:r w:rsidRPr="00C03861">
        <w:rPr>
          <w:rFonts w:eastAsia="Times New Roman" w:cstheme="minorHAnsi"/>
          <w:b/>
          <w:bCs/>
          <w:i/>
          <w:iCs/>
          <w:sz w:val="18"/>
          <w:szCs w:val="18"/>
          <w:lang w:eastAsia="fr-BE"/>
        </w:rPr>
        <w:t>2</w:t>
      </w:r>
      <w:r w:rsidRPr="00C03861">
        <w:rPr>
          <w:rFonts w:eastAsia="Times New Roman" w:cstheme="minorHAnsi"/>
          <w:sz w:val="18"/>
          <w:szCs w:val="18"/>
          <w:lang w:eastAsia="fr-BE"/>
        </w:rPr>
        <w:t>:</w:t>
      </w:r>
      <w:proofErr w:type="gramEnd"/>
      <w:r w:rsidRPr="00C03861">
        <w:rPr>
          <w:rFonts w:eastAsia="Times New Roman" w:cstheme="minorHAnsi"/>
          <w:sz w:val="18"/>
          <w:szCs w:val="18"/>
          <w:lang w:eastAsia="fr-BE"/>
        </w:rPr>
        <w:t xml:space="preserve"> La taxe est fixée à </w:t>
      </w:r>
      <w:r w:rsidRPr="00C03861">
        <w:rPr>
          <w:rFonts w:eastAsia="Times New Roman" w:cstheme="minorHAnsi"/>
          <w:b/>
          <w:bCs/>
          <w:sz w:val="18"/>
          <w:szCs w:val="18"/>
          <w:lang w:eastAsia="fr-BE"/>
        </w:rPr>
        <w:t>70,00 € par an et par lit</w:t>
      </w:r>
      <w:r w:rsidRPr="00C03861">
        <w:rPr>
          <w:rFonts w:eastAsia="Times New Roman" w:cstheme="minorHAnsi"/>
          <w:sz w:val="18"/>
          <w:szCs w:val="18"/>
          <w:lang w:eastAsia="fr-BE"/>
        </w:rPr>
        <w:t xml:space="preserve">. Un lit de 2 personnes </w:t>
      </w:r>
      <w:proofErr w:type="gramStart"/>
      <w:r w:rsidRPr="00C03861">
        <w:rPr>
          <w:rFonts w:eastAsia="Times New Roman" w:cstheme="minorHAnsi"/>
          <w:sz w:val="18"/>
          <w:szCs w:val="18"/>
          <w:lang w:eastAsia="fr-BE"/>
        </w:rPr>
        <w:t>équivaux</w:t>
      </w:r>
      <w:proofErr w:type="gramEnd"/>
      <w:r w:rsidRPr="00C03861">
        <w:rPr>
          <w:rFonts w:eastAsia="Times New Roman" w:cstheme="minorHAnsi"/>
          <w:sz w:val="18"/>
          <w:szCs w:val="18"/>
          <w:lang w:eastAsia="fr-BE"/>
        </w:rPr>
        <w:t xml:space="preserve"> à 2 lits. Sont concernés, les lits dans les établissements hôteliers, hébergements touristiques de terroir, meublés de vacances, campings touristiques, villages de vacances, hébergements insolites, logements Airbnb et autres logements similaires.</w:t>
      </w:r>
    </w:p>
    <w:p w14:paraId="2B335737"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La taxe est indivisible et est due pour toute l’année, quelle que soit la période pendant laquelle l'hébergement est mis à disposition.</w:t>
      </w:r>
    </w:p>
    <w:p w14:paraId="6BA5A87A"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La taxe est due par le propriétaire de l'hébergement mis à disposition.</w:t>
      </w:r>
    </w:p>
    <w:p w14:paraId="4D3D45CF"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3</w:t>
      </w:r>
      <w:r w:rsidRPr="00C03861">
        <w:rPr>
          <w:rFonts w:eastAsia="Times New Roman" w:cstheme="minorHAnsi"/>
          <w:b/>
          <w:bCs/>
          <w:sz w:val="18"/>
          <w:szCs w:val="18"/>
          <w:lang w:eastAsia="fr-BE"/>
        </w:rPr>
        <w:t xml:space="preserve"> : </w:t>
      </w:r>
      <w:r w:rsidRPr="00C03861">
        <w:rPr>
          <w:rFonts w:eastAsia="Times New Roman" w:cstheme="minorHAnsi"/>
          <w:sz w:val="18"/>
          <w:szCs w:val="18"/>
          <w:lang w:eastAsia="fr-BE"/>
        </w:rPr>
        <w:t xml:space="preserve">Lorsque la taxation vise les hébergements dûment autorisés à utiliser une dénomination protégée par le code wallon du tourisme, la </w:t>
      </w:r>
      <w:r w:rsidRPr="00C03861">
        <w:rPr>
          <w:rFonts w:eastAsia="Times New Roman" w:cstheme="minorHAnsi"/>
          <w:b/>
          <w:bCs/>
          <w:sz w:val="18"/>
          <w:szCs w:val="18"/>
          <w:lang w:eastAsia="fr-BE"/>
        </w:rPr>
        <w:t>taxe est réduite de moitié,</w:t>
      </w:r>
      <w:r w:rsidRPr="00C03861">
        <w:rPr>
          <w:rFonts w:eastAsia="Times New Roman" w:cstheme="minorHAnsi"/>
          <w:sz w:val="18"/>
          <w:szCs w:val="18"/>
          <w:lang w:eastAsia="fr-BE"/>
        </w:rPr>
        <w:t xml:space="preserve"> pour toute l’année, quel que soit le moment de la reconnaissance, sans application de coefficient.</w:t>
      </w:r>
    </w:p>
    <w:p w14:paraId="42ABE8D8"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4</w:t>
      </w:r>
      <w:r w:rsidRPr="00C03861">
        <w:rPr>
          <w:rFonts w:eastAsia="Times New Roman" w:cstheme="minorHAnsi"/>
          <w:sz w:val="18"/>
          <w:szCs w:val="18"/>
          <w:lang w:eastAsia="fr-BE"/>
        </w:rPr>
        <w:t xml:space="preserve"> : Ne donnent pas lieu à la perception de la taxe les personnes logeant en centres d’hébergement pour jeunes ou en auberges de jeunesse.</w:t>
      </w:r>
    </w:p>
    <w:p w14:paraId="58108DB8"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5</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L’administration communale adresse au contribuable une formule de déclaration que celui-ci est tenu de renvoyer, dûment remplie et signée, dans les quinze jours de la réception de ladite formule. Le contribuable qui n'a pas reçu de formule de déclaration est tenu de déclarer à l’Administration communale,</w:t>
      </w:r>
      <w:r w:rsidRPr="00C03861">
        <w:rPr>
          <w:rFonts w:eastAsia="Times New Roman" w:cstheme="minorHAnsi"/>
          <w:b/>
          <w:bCs/>
          <w:sz w:val="18"/>
          <w:szCs w:val="18"/>
          <w:lang w:eastAsia="fr-BE"/>
        </w:rPr>
        <w:t xml:space="preserve"> au plus tard le 1</w:t>
      </w:r>
      <w:r w:rsidRPr="00C03861">
        <w:rPr>
          <w:rFonts w:eastAsia="Times New Roman" w:cstheme="minorHAnsi"/>
          <w:b/>
          <w:bCs/>
          <w:sz w:val="18"/>
          <w:szCs w:val="18"/>
          <w:vertAlign w:val="superscript"/>
          <w:lang w:eastAsia="fr-BE"/>
        </w:rPr>
        <w:t>er</w:t>
      </w:r>
      <w:r w:rsidRPr="00C03861">
        <w:rPr>
          <w:rFonts w:eastAsia="Times New Roman" w:cstheme="minorHAnsi"/>
          <w:b/>
          <w:bCs/>
          <w:sz w:val="18"/>
          <w:szCs w:val="18"/>
          <w:lang w:eastAsia="fr-BE"/>
        </w:rPr>
        <w:t xml:space="preserve"> jour de la mise à disposition de son hébergement</w:t>
      </w:r>
      <w:r w:rsidRPr="00C03861">
        <w:rPr>
          <w:rFonts w:eastAsia="Times New Roman" w:cstheme="minorHAnsi"/>
          <w:sz w:val="18"/>
          <w:szCs w:val="18"/>
          <w:lang w:eastAsia="fr-BE"/>
        </w:rPr>
        <w:t xml:space="preserve">, les éléments nécessaires à la taxation. </w:t>
      </w:r>
      <w:r w:rsidRPr="00C03861">
        <w:rPr>
          <w:rFonts w:eastAsia="Times New Roman" w:cstheme="minorHAnsi"/>
          <w:b/>
          <w:bCs/>
          <w:sz w:val="18"/>
          <w:szCs w:val="18"/>
          <w:lang w:eastAsia="fr-BE"/>
        </w:rPr>
        <w:t>Cette déclaration est valable jusqu’à révocation par recommandé du contribuable.</w:t>
      </w:r>
    </w:p>
    <w:p w14:paraId="0E19B13A"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6</w:t>
      </w:r>
      <w:r w:rsidRPr="00C03861">
        <w:rPr>
          <w:rFonts w:eastAsia="Times New Roman" w:cstheme="minorHAnsi"/>
          <w:sz w:val="18"/>
          <w:szCs w:val="18"/>
          <w:lang w:eastAsia="fr-BE"/>
        </w:rPr>
        <w:t xml:space="preserve"> : Conformément à l’article L3321-6 du Code de la Démocratie et de la Décentralisation, la non-déclaration dans les délais prévus, la déclaration incorrecte, incomplète ou imprécise entraîne l'enrôlement d'office de la taxe.</w:t>
      </w:r>
    </w:p>
    <w:p w14:paraId="0AB0A855" w14:textId="77777777" w:rsidR="00C03861" w:rsidRPr="00C03861" w:rsidRDefault="00C03861" w:rsidP="00C03861">
      <w:pPr>
        <w:spacing w:after="0" w:line="240" w:lineRule="auto"/>
        <w:rPr>
          <w:rFonts w:eastAsia="Times New Roman" w:cstheme="minorHAnsi"/>
          <w:sz w:val="18"/>
          <w:szCs w:val="18"/>
          <w:lang w:eastAsia="fr-BE"/>
        </w:rPr>
      </w:pPr>
      <w:r w:rsidRPr="00C03861">
        <w:rPr>
          <w:rFonts w:eastAsia="Times New Roman" w:cstheme="minorHAnsi"/>
          <w:sz w:val="18"/>
          <w:szCs w:val="18"/>
          <w:lang w:eastAsia="fr-BE"/>
        </w:rPr>
        <w:t>Avant de procéder à la taxation d’office, le Collège communal notifie au redevable, par lettre recommandée à la poste, les motifs du recours à cette procédure, les éléments sur lesquels la taxation est basée, ainsi que le mode de détermination de ces éléments et le montant de la taxe. Si dans les trente jours à compter de la date d’envoi de cette notification, le contribuable n’a émis aucune observation, il sera procédé à l’enrôlement d’office.</w:t>
      </w:r>
    </w:p>
    <w:p w14:paraId="36368970" w14:textId="77777777" w:rsidR="00C03861" w:rsidRPr="00C03861" w:rsidRDefault="00C03861" w:rsidP="00C03861">
      <w:pPr>
        <w:spacing w:after="0" w:line="240" w:lineRule="auto"/>
        <w:rPr>
          <w:rFonts w:eastAsia="Times New Roman" w:cstheme="minorHAnsi"/>
          <w:sz w:val="18"/>
          <w:szCs w:val="18"/>
          <w:lang w:eastAsia="fr-BE"/>
        </w:rPr>
      </w:pPr>
      <w:r w:rsidRPr="00C03861">
        <w:rPr>
          <w:rFonts w:eastAsia="Times New Roman" w:cstheme="minorHAnsi"/>
          <w:sz w:val="18"/>
          <w:szCs w:val="18"/>
          <w:lang w:eastAsia="fr-BE"/>
        </w:rPr>
        <w:t>Les taxes enrôlées d'office sont majorées selon une échelle dont les graduations sont les suivantes :</w:t>
      </w:r>
    </w:p>
    <w:p w14:paraId="65436F3E" w14:textId="77777777" w:rsidR="00C03861" w:rsidRPr="00C03861" w:rsidRDefault="00C03861" w:rsidP="00C03861">
      <w:pPr>
        <w:numPr>
          <w:ilvl w:val="0"/>
          <w:numId w:val="3"/>
        </w:num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100 pour cent pour la 1</w:t>
      </w:r>
      <w:r w:rsidRPr="00C03861">
        <w:rPr>
          <w:rFonts w:eastAsia="Times New Roman" w:cstheme="minorHAnsi"/>
          <w:sz w:val="18"/>
          <w:szCs w:val="18"/>
          <w:vertAlign w:val="superscript"/>
          <w:lang w:eastAsia="fr-BE"/>
        </w:rPr>
        <w:t>ère</w:t>
      </w:r>
      <w:r w:rsidRPr="00C03861">
        <w:rPr>
          <w:rFonts w:eastAsia="Times New Roman" w:cstheme="minorHAnsi"/>
          <w:sz w:val="18"/>
          <w:szCs w:val="18"/>
          <w:lang w:eastAsia="fr-BE"/>
        </w:rPr>
        <w:t xml:space="preserve"> infraction</w:t>
      </w:r>
    </w:p>
    <w:p w14:paraId="670F8A64" w14:textId="77777777" w:rsidR="00C03861" w:rsidRPr="00C03861" w:rsidRDefault="00C03861" w:rsidP="00C03861">
      <w:pPr>
        <w:numPr>
          <w:ilvl w:val="0"/>
          <w:numId w:val="3"/>
        </w:num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150 pour cent pour la 2</w:t>
      </w:r>
      <w:r w:rsidRPr="00C03861">
        <w:rPr>
          <w:rFonts w:eastAsia="Times New Roman" w:cstheme="minorHAnsi"/>
          <w:sz w:val="18"/>
          <w:szCs w:val="18"/>
          <w:vertAlign w:val="superscript"/>
          <w:lang w:eastAsia="fr-BE"/>
        </w:rPr>
        <w:t>ème</w:t>
      </w:r>
      <w:r w:rsidRPr="00C03861">
        <w:rPr>
          <w:rFonts w:eastAsia="Times New Roman" w:cstheme="minorHAnsi"/>
          <w:sz w:val="18"/>
          <w:szCs w:val="18"/>
          <w:lang w:eastAsia="fr-BE"/>
        </w:rPr>
        <w:t xml:space="preserve"> infraction</w:t>
      </w:r>
    </w:p>
    <w:p w14:paraId="5A3D1B9B" w14:textId="77777777" w:rsidR="00C03861" w:rsidRPr="00C03861" w:rsidRDefault="00C03861" w:rsidP="00C03861">
      <w:pPr>
        <w:numPr>
          <w:ilvl w:val="0"/>
          <w:numId w:val="3"/>
        </w:num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200 pour cent à partir de la 3</w:t>
      </w:r>
      <w:r w:rsidRPr="00C03861">
        <w:rPr>
          <w:rFonts w:eastAsia="Times New Roman" w:cstheme="minorHAnsi"/>
          <w:sz w:val="18"/>
          <w:szCs w:val="18"/>
          <w:vertAlign w:val="superscript"/>
          <w:lang w:eastAsia="fr-BE"/>
        </w:rPr>
        <w:t>ème</w:t>
      </w:r>
      <w:r w:rsidRPr="00C03861">
        <w:rPr>
          <w:rFonts w:eastAsia="Times New Roman" w:cstheme="minorHAnsi"/>
          <w:sz w:val="18"/>
          <w:szCs w:val="18"/>
          <w:lang w:eastAsia="fr-BE"/>
        </w:rPr>
        <w:t xml:space="preserve"> infraction</w:t>
      </w:r>
    </w:p>
    <w:p w14:paraId="7558FE1E"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7 :</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Pour la détermination de l’échelle à appliquer, il y a 2</w:t>
      </w:r>
      <w:r w:rsidRPr="00C03861">
        <w:rPr>
          <w:rFonts w:eastAsia="Times New Roman" w:cstheme="minorHAnsi"/>
          <w:sz w:val="18"/>
          <w:szCs w:val="18"/>
          <w:vertAlign w:val="superscript"/>
          <w:lang w:eastAsia="fr-BE"/>
        </w:rPr>
        <w:t>ème</w:t>
      </w:r>
      <w:r w:rsidRPr="00C03861">
        <w:rPr>
          <w:rFonts w:eastAsia="Times New Roman" w:cstheme="minorHAnsi"/>
          <w:sz w:val="18"/>
          <w:szCs w:val="18"/>
          <w:lang w:eastAsia="fr-BE"/>
        </w:rPr>
        <w:t xml:space="preserv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7219CBEB"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 xml:space="preserve">Article 8 : </w:t>
      </w:r>
      <w:r w:rsidRPr="00C03861">
        <w:rPr>
          <w:rFonts w:eastAsia="Times New Roman" w:cstheme="minorHAnsi"/>
          <w:sz w:val="18"/>
          <w:szCs w:val="18"/>
          <w:lang w:eastAsia="fr-BE"/>
        </w:rPr>
        <w:t xml:space="preserve">Pour apprécier la récurrence de la taxation il y a lieu de remonter jusqu’au premier exercice fiscal au cours duquel la taxe a été établie, peu importe que les taxations se soient faites sur base de différents règlements qui se sont </w:t>
      </w:r>
      <w:proofErr w:type="gramStart"/>
      <w:r w:rsidRPr="00C03861">
        <w:rPr>
          <w:rFonts w:eastAsia="Times New Roman" w:cstheme="minorHAnsi"/>
          <w:sz w:val="18"/>
          <w:szCs w:val="18"/>
          <w:lang w:eastAsia="fr-BE"/>
        </w:rPr>
        <w:t>succédés</w:t>
      </w:r>
      <w:proofErr w:type="gramEnd"/>
      <w:r w:rsidRPr="00C03861">
        <w:rPr>
          <w:rFonts w:eastAsia="Times New Roman" w:cstheme="minorHAnsi"/>
          <w:sz w:val="18"/>
          <w:szCs w:val="18"/>
          <w:lang w:eastAsia="fr-BE"/>
        </w:rPr>
        <w:t xml:space="preserve"> au fil du temps.</w:t>
      </w:r>
    </w:p>
    <w:p w14:paraId="62B0DC7F"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Les infractions antérieures sont négligées si aucune infraction en la matière n'est sanctionnée pour les trois derniers exercices d'imposition qui précèdent celui pour lequel la nouvelle infraction doit être pénalisée.</w:t>
      </w:r>
    </w:p>
    <w:p w14:paraId="3607E428"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9</w:t>
      </w:r>
      <w:r w:rsidRPr="00C03861">
        <w:rPr>
          <w:rFonts w:eastAsia="Times New Roman" w:cstheme="minorHAnsi"/>
          <w:sz w:val="18"/>
          <w:szCs w:val="18"/>
          <w:lang w:eastAsia="fr-BE"/>
        </w:rPr>
        <w:t xml:space="preserve"> : La taxe est payable dans les deux mois de l'envoi de l'avertissement-extrait de rôle. A défaut de paiement dans ce délai, il sera fait application des règles relatives aux intérêts de retard </w:t>
      </w:r>
      <w:proofErr w:type="spellStart"/>
      <w:r w:rsidRPr="00C03861">
        <w:rPr>
          <w:rFonts w:eastAsia="Times New Roman" w:cstheme="minorHAnsi"/>
          <w:sz w:val="18"/>
          <w:szCs w:val="18"/>
          <w:lang w:eastAsia="fr-BE"/>
        </w:rPr>
        <w:t>retard</w:t>
      </w:r>
      <w:proofErr w:type="spellEnd"/>
      <w:r w:rsidRPr="00C03861">
        <w:rPr>
          <w:rFonts w:eastAsia="Times New Roman" w:cstheme="minorHAnsi"/>
          <w:sz w:val="18"/>
          <w:szCs w:val="18"/>
          <w:lang w:eastAsia="fr-BE"/>
        </w:rPr>
        <w:t xml:space="preserve"> en matière d'impôts d’État sur les revenus.</w:t>
      </w:r>
    </w:p>
    <w:p w14:paraId="67C89B36"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sz w:val="18"/>
          <w:szCs w:val="18"/>
          <w:lang w:eastAsia="fr-BE"/>
        </w:rPr>
        <w:t>Article 10</w:t>
      </w:r>
      <w:r w:rsidRPr="00C03861">
        <w:rPr>
          <w:rFonts w:eastAsia="Times New Roman" w:cstheme="minorHAnsi"/>
          <w:sz w:val="18"/>
          <w:szCs w:val="18"/>
          <w:lang w:eastAsia="fr-BE"/>
        </w:rPr>
        <w:t xml:space="preserve"> : Les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échevins en matière de réclamation contre une imposition provinciale ou communale.</w:t>
      </w:r>
    </w:p>
    <w:p w14:paraId="15F747CD"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11</w:t>
      </w:r>
      <w:r w:rsidRPr="00C03861">
        <w:rPr>
          <w:rFonts w:eastAsia="Times New Roman" w:cstheme="minorHAnsi"/>
          <w:sz w:val="18"/>
          <w:szCs w:val="18"/>
          <w:lang w:eastAsia="fr-BE"/>
        </w:rPr>
        <w:t xml:space="preserve"> : En cas de non-paiement de la taxe à l'échéance fixée au présent règlement, conformément à l’article L3321-8bis du Code de la démocratie locale et de la décentralisation, une sommation de payer sera envoyée au contribuable. Cette sommation de payer se fera par courrier recommandé et les frais postaux de cet envoi seront à charge du redevable. Ces frais seront recouvrés de la même manière que la taxe à laquelle ils se rapportent.</w:t>
      </w:r>
    </w:p>
    <w:p w14:paraId="4A8A4D80" w14:textId="77777777" w:rsidR="00C03861" w:rsidRPr="00C03861" w:rsidRDefault="00C03861" w:rsidP="00C03861">
      <w:pPr>
        <w:spacing w:after="0" w:line="240" w:lineRule="auto"/>
        <w:rPr>
          <w:rFonts w:eastAsia="Times New Roman" w:cstheme="minorHAnsi"/>
          <w:sz w:val="18"/>
          <w:szCs w:val="18"/>
          <w:lang w:eastAsia="fr-BE"/>
        </w:rPr>
      </w:pPr>
      <w:r w:rsidRPr="00C03861">
        <w:rPr>
          <w:rFonts w:eastAsia="Times New Roman" w:cstheme="minorHAnsi"/>
          <w:b/>
          <w:bCs/>
          <w:i/>
          <w:iCs/>
          <w:sz w:val="18"/>
          <w:szCs w:val="18"/>
          <w:lang w:eastAsia="fr-BE"/>
        </w:rPr>
        <w:t>Article 12</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 Le redevable peut introduire une réclamation auprès du Collège communal. Pour être recevables, les réclamations doivent être faites par écrit, motivées et remises ou présentées par envoi postal dans les six mois, à compter du troisième jour ouvrable qui suit la date d’envoi de l'avertissement-extrait de rôle. Le réclamant ne doit pas justifier du paiement de la taxe.</w:t>
      </w:r>
    </w:p>
    <w:p w14:paraId="36CC1306"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13</w:t>
      </w:r>
      <w:r w:rsidRPr="00C03861">
        <w:rPr>
          <w:rFonts w:eastAsia="Times New Roman" w:cstheme="minorHAnsi"/>
          <w:sz w:val="18"/>
          <w:szCs w:val="18"/>
          <w:lang w:eastAsia="fr-BE"/>
        </w:rPr>
        <w:t xml:space="preserve"> : Dans le cas où une même situation peut donner lieu à l'application à la fois du présent règlement et de celui qui instaure une taxe sur les secondes résidences, seul est d'application le règlement dont le taux est le plus favorable pour la Commune de Viroinval.</w:t>
      </w:r>
    </w:p>
    <w:p w14:paraId="4E0299C2"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14 :</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Le présent règlement sera transmis au Gouvernement Wallon conformément aux articles L3131-1 et suivants Code de la Démocratie Locale et de la Décentralisation pour exercice de la tutelle spéciale d’approbation</w:t>
      </w:r>
    </w:p>
    <w:p w14:paraId="54D17361"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15 :</w:t>
      </w:r>
      <w:r w:rsidRPr="00C03861">
        <w:rPr>
          <w:rFonts w:eastAsia="Times New Roman" w:cstheme="minorHAnsi"/>
          <w:b/>
          <w:bCs/>
          <w:sz w:val="18"/>
          <w:szCs w:val="18"/>
          <w:lang w:eastAsia="fr-BE"/>
        </w:rPr>
        <w:t xml:space="preserve"> </w:t>
      </w:r>
      <w:r w:rsidRPr="00C03861">
        <w:rPr>
          <w:rFonts w:eastAsia="Times New Roman" w:cstheme="minorHAnsi"/>
          <w:sz w:val="18"/>
          <w:szCs w:val="18"/>
          <w:lang w:eastAsia="fr-BE"/>
        </w:rPr>
        <w:t>Le présent règlement entrera en vigueur après accomplissement des formalités de la transmission obligatoire au Gouvernement wallon et de la publication faites conformément aux articles L1133-1 à 3 du Code de la Démocratie Locale et de la Décentralisation. A la date d'entrée en vigueur du présent règlement, toutes autres dispositions réglementaires relatives au même objet sont abrogées.</w:t>
      </w:r>
    </w:p>
    <w:p w14:paraId="02442A28"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b/>
          <w:bCs/>
          <w:i/>
          <w:iCs/>
          <w:sz w:val="18"/>
          <w:szCs w:val="18"/>
          <w:lang w:eastAsia="fr-BE"/>
        </w:rPr>
        <w:t>Article 16</w:t>
      </w:r>
      <w:r w:rsidRPr="00C03861">
        <w:rPr>
          <w:rFonts w:eastAsia="Times New Roman" w:cstheme="minorHAnsi"/>
          <w:sz w:val="18"/>
          <w:szCs w:val="18"/>
          <w:lang w:eastAsia="fr-BE"/>
        </w:rPr>
        <w:t xml:space="preserve"> : Règlement Général de Protection des Données (RGPD).</w:t>
      </w:r>
    </w:p>
    <w:p w14:paraId="0C11F2D0"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Responsable de traitement : La Commune de Viroinval ;</w:t>
      </w:r>
    </w:p>
    <w:p w14:paraId="279CC479"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 xml:space="preserve">Finalité du traitement des données : Pour l'établissement et recouvrement de la taxe hôtelière et des </w:t>
      </w:r>
      <w:proofErr w:type="gramStart"/>
      <w:r w:rsidRPr="00C03861">
        <w:rPr>
          <w:rFonts w:eastAsia="Times New Roman" w:cstheme="minorHAnsi"/>
          <w:sz w:val="18"/>
          <w:szCs w:val="18"/>
          <w:lang w:eastAsia="fr-BE"/>
        </w:rPr>
        <w:t>séjours  ;</w:t>
      </w:r>
      <w:proofErr w:type="gramEnd"/>
    </w:p>
    <w:p w14:paraId="442A1530"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Catégories de données : Les données d’identification du propriétaire de l'hébergement mis à disposition ;</w:t>
      </w:r>
    </w:p>
    <w:p w14:paraId="1D7BA8B8"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Durée de conservation : La Commune de Viroinval s’engage à conserver les données pour un délai de maximum 10 ans et à les supprimer par la suite ou à les transférer aux archives de l’Etat ;</w:t>
      </w:r>
    </w:p>
    <w:p w14:paraId="2C046792"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 xml:space="preserve">Méthode de collecte : Par le biais de déclarations et de contrôles ponctuels par l'agent assermenté </w:t>
      </w:r>
      <w:proofErr w:type="spellStart"/>
      <w:r w:rsidRPr="00C03861">
        <w:rPr>
          <w:rFonts w:eastAsia="Times New Roman" w:cstheme="minorHAnsi"/>
          <w:sz w:val="18"/>
          <w:szCs w:val="18"/>
          <w:lang w:eastAsia="fr-BE"/>
        </w:rPr>
        <w:t>constatateur</w:t>
      </w:r>
      <w:proofErr w:type="spellEnd"/>
      <w:r w:rsidRPr="00C03861">
        <w:rPr>
          <w:rFonts w:eastAsia="Times New Roman" w:cstheme="minorHAnsi"/>
          <w:sz w:val="18"/>
          <w:szCs w:val="18"/>
          <w:lang w:eastAsia="fr-BE"/>
        </w:rPr>
        <w:t xml:space="preserve"> ;</w:t>
      </w:r>
    </w:p>
    <w:p w14:paraId="400625E1" w14:textId="77777777" w:rsidR="00C03861" w:rsidRPr="00C03861" w:rsidRDefault="00C03861" w:rsidP="00C03861">
      <w:pPr>
        <w:spacing w:after="0" w:line="240" w:lineRule="auto"/>
        <w:jc w:val="both"/>
        <w:rPr>
          <w:rFonts w:eastAsia="Times New Roman" w:cstheme="minorHAnsi"/>
          <w:sz w:val="18"/>
          <w:szCs w:val="18"/>
          <w:lang w:eastAsia="fr-BE"/>
        </w:rPr>
      </w:pPr>
      <w:r w:rsidRPr="00C03861">
        <w:rPr>
          <w:rFonts w:eastAsia="Times New Roman" w:cstheme="minorHAnsi"/>
          <w:sz w:val="18"/>
          <w:szCs w:val="18"/>
          <w:lang w:eastAsia="fr-BE"/>
        </w:rPr>
        <w:t>Communications des données : Les données ne seront communiquées qu’à des tiers autorisés par ou en vertu de la loi, notamment en application de l’article 327 du code des impôts sur les revenus, ou à des sous-traitants du responsable de traitement.</w:t>
      </w:r>
    </w:p>
    <w:p w14:paraId="76AD6720" w14:textId="77777777" w:rsidR="00822AD2" w:rsidRPr="00C86700" w:rsidRDefault="00822AD2" w:rsidP="00C03861">
      <w:pPr>
        <w:spacing w:before="100" w:beforeAutospacing="1" w:after="100" w:afterAutospacing="1" w:line="240" w:lineRule="auto"/>
        <w:contextualSpacing/>
        <w:jc w:val="both"/>
        <w:rPr>
          <w:rFonts w:ascii="Arial" w:eastAsia="Times New Roman" w:hAnsi="Arial" w:cs="Arial"/>
          <w:sz w:val="18"/>
          <w:szCs w:val="18"/>
          <w:lang w:val="fr-FR" w:eastAsia="fr-FR"/>
        </w:rPr>
      </w:pPr>
    </w:p>
    <w:sectPr w:rsidR="00822AD2" w:rsidRPr="00C86700" w:rsidSect="00C03861">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3755" w14:textId="77777777" w:rsidR="00C61F3D" w:rsidRDefault="00C61F3D" w:rsidP="00C61F3D">
      <w:pPr>
        <w:spacing w:after="0" w:line="240" w:lineRule="auto"/>
      </w:pPr>
      <w:r>
        <w:separator/>
      </w:r>
    </w:p>
  </w:endnote>
  <w:endnote w:type="continuationSeparator" w:id="0">
    <w:p w14:paraId="5C25CF4A" w14:textId="77777777" w:rsidR="00C61F3D" w:rsidRDefault="00C61F3D" w:rsidP="00C6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B855" w14:textId="77777777" w:rsidR="00C61F3D" w:rsidRDefault="00C61F3D" w:rsidP="00C61F3D">
      <w:pPr>
        <w:spacing w:after="0" w:line="240" w:lineRule="auto"/>
      </w:pPr>
      <w:r>
        <w:separator/>
      </w:r>
    </w:p>
  </w:footnote>
  <w:footnote w:type="continuationSeparator" w:id="0">
    <w:p w14:paraId="00A1B636" w14:textId="77777777" w:rsidR="00C61F3D" w:rsidRDefault="00C61F3D" w:rsidP="00C61F3D">
      <w:pPr>
        <w:spacing w:after="0" w:line="240" w:lineRule="auto"/>
      </w:pPr>
      <w:r>
        <w:continuationSeparator/>
      </w:r>
    </w:p>
  </w:footnote>
  <w:footnote w:id="1">
    <w:p w14:paraId="2F5F4680" w14:textId="77777777" w:rsidR="00C61F3D" w:rsidRDefault="00C61F3D" w:rsidP="00C61F3D">
      <w:pPr>
        <w:pStyle w:val="Notedebasdepage"/>
        <w:ind w:left="180" w:hanging="180"/>
        <w:jc w:val="both"/>
      </w:pPr>
      <w:r>
        <w:rPr>
          <w:rStyle w:val="Appelnotedebasdep"/>
        </w:rPr>
        <w:footnoteRef/>
      </w:r>
      <w:r>
        <w:t xml:space="preserve"> Cocher la case adéquate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CF9"/>
    <w:multiLevelType w:val="hybridMultilevel"/>
    <w:tmpl w:val="AF525390"/>
    <w:lvl w:ilvl="0" w:tplc="B1B061F0">
      <w:numFmt w:val="bullet"/>
      <w:lvlText w:val="-"/>
      <w:lvlJc w:val="left"/>
      <w:pPr>
        <w:ind w:left="720" w:hanging="360"/>
      </w:pPr>
      <w:rPr>
        <w:rFonts w:ascii="Arial" w:eastAsiaTheme="minorHAnsi" w:hAnsi="Arial"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C77FE1"/>
    <w:multiLevelType w:val="multilevel"/>
    <w:tmpl w:val="5C1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80767"/>
    <w:multiLevelType w:val="multilevel"/>
    <w:tmpl w:val="354E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027838">
    <w:abstractNumId w:val="0"/>
  </w:num>
  <w:num w:numId="2" w16cid:durableId="376320122">
    <w:abstractNumId w:val="1"/>
  </w:num>
  <w:num w:numId="3" w16cid:durableId="1821581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3D"/>
    <w:rsid w:val="003C20E7"/>
    <w:rsid w:val="00400E0C"/>
    <w:rsid w:val="005D5D5C"/>
    <w:rsid w:val="006B2F20"/>
    <w:rsid w:val="006B5548"/>
    <w:rsid w:val="0080254C"/>
    <w:rsid w:val="00822AD2"/>
    <w:rsid w:val="009F28E6"/>
    <w:rsid w:val="00A878AA"/>
    <w:rsid w:val="00BE2D9A"/>
    <w:rsid w:val="00C03861"/>
    <w:rsid w:val="00C61F3D"/>
    <w:rsid w:val="00C86700"/>
    <w:rsid w:val="00D30BD7"/>
    <w:rsid w:val="00D36F07"/>
    <w:rsid w:val="00DC45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0954"/>
  <w15:chartTrackingRefBased/>
  <w15:docId w15:val="{59275973-9F54-4141-BD30-C3F4BA5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61F3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61F3D"/>
    <w:rPr>
      <w:rFonts w:ascii="Times New Roman" w:eastAsia="Times New Roman" w:hAnsi="Times New Roman" w:cs="Times New Roman"/>
      <w:sz w:val="20"/>
      <w:szCs w:val="20"/>
      <w:lang w:eastAsia="fr-FR"/>
    </w:rPr>
  </w:style>
  <w:style w:type="character" w:styleId="Appelnotedebasdep">
    <w:name w:val="footnote reference"/>
    <w:semiHidden/>
    <w:rsid w:val="00C61F3D"/>
    <w:rPr>
      <w:vertAlign w:val="superscript"/>
    </w:rPr>
  </w:style>
  <w:style w:type="table" w:styleId="Grilledutableau">
    <w:name w:val="Table Grid"/>
    <w:basedOn w:val="TableauNormal"/>
    <w:uiPriority w:val="39"/>
    <w:rsid w:val="00C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7574</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dc:creator>
  <cp:keywords/>
  <dc:description/>
  <cp:lastModifiedBy>Jessica Gossiaux</cp:lastModifiedBy>
  <cp:revision>2</cp:revision>
  <cp:lastPrinted>2023-01-26T13:44:00Z</cp:lastPrinted>
  <dcterms:created xsi:type="dcterms:W3CDTF">2023-07-06T11:29:00Z</dcterms:created>
  <dcterms:modified xsi:type="dcterms:W3CDTF">2023-07-06T11:29:00Z</dcterms:modified>
</cp:coreProperties>
</file>